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19838">
      <w:pPr>
        <w:pStyle w:val="2"/>
        <w:jc w:val="center"/>
      </w:pPr>
      <w:bookmarkStart w:id="0" w:name="X60763c09a7ba6ce9ee0c6d5f2c9286e089b8189"/>
      <w:r>
        <w:rPr>
          <w:rFonts w:hint="eastAsia"/>
        </w:rPr>
        <w:t>济南DWS-05-14地块拿地可行性汇报</w:t>
      </w:r>
    </w:p>
    <w:p w14:paraId="62864D06">
      <w:pPr>
        <w:pStyle w:val="23"/>
      </w:pPr>
      <w:r>
        <w:rPr>
          <w:rFonts w:hint="eastAsia"/>
          <w:b/>
          <w:bCs/>
        </w:rPr>
        <w:t>汇报日期：2026年5月18日</w:t>
      </w:r>
    </w:p>
    <w:p w14:paraId="216AD79F">
      <w:pPr>
        <w:pStyle w:val="4"/>
      </w:pPr>
      <w:bookmarkStart w:id="1" w:name="X9d1222c9ef819a649de30d9dc0f9dde5af39f4f"/>
      <w:r>
        <w:rPr>
          <w:rFonts w:hint="eastAsia"/>
        </w:rPr>
        <w:t>一、地块基础信息</w:t>
      </w:r>
      <w:bookmarkStart w:id="8" w:name="_GoBack"/>
      <w:bookmarkEnd w:id="8"/>
    </w:p>
    <w:p w14:paraId="0CD46F91">
      <w:pPr>
        <w:pStyle w:val="23"/>
        <w:rPr>
          <w:rFonts w:hint="eastAsia"/>
        </w:rPr>
      </w:pPr>
      <w:r>
        <w:rPr>
          <w:rFonts w:hint="eastAsia"/>
        </w:rPr>
        <w:t>地块位于历城区王舍人龙脊河东路以东、望华北街以北，占地71.71亩，容积率1.2主城区稀缺低密住宅用地，底价楼面价6600元/㎡，总地价3.79亿元，地上可售建面5.74万㎡。片区刚需去化偏弱，低密改善产品具备独立溢价能力。</w:t>
      </w:r>
    </w:p>
    <w:p w14:paraId="2D3F4070">
      <w:pPr>
        <w:pStyle w:val="3"/>
      </w:pPr>
      <w:r>
        <w:drawing>
          <wp:inline distT="0" distB="0" distL="114300" distR="114300">
            <wp:extent cx="5084445" cy="348234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3A6C0E91">
      <w:pPr>
        <w:pStyle w:val="4"/>
      </w:pPr>
      <w:bookmarkStart w:id="2" w:name="X4f2d5c64edb60a494c68af23b9e36319e9b034e"/>
      <w:r>
        <w:rPr>
          <w:rFonts w:hint="eastAsia"/>
        </w:rPr>
        <w:t>二、拿地前置条件</w:t>
      </w:r>
    </w:p>
    <w:p w14:paraId="3CFAA341">
      <w:pPr>
        <w:numPr>
          <w:ilvl w:val="0"/>
          <w:numId w:val="1"/>
        </w:numPr>
      </w:pPr>
      <w:r>
        <w:rPr>
          <w:rFonts w:hint="eastAsia"/>
        </w:rPr>
        <w:t>地块权属干净，无拆迁遗留、抵押、债权纠纷</w:t>
      </w:r>
    </w:p>
    <w:p w14:paraId="79601721">
      <w:pPr>
        <w:numPr>
          <w:ilvl w:val="0"/>
          <w:numId w:val="1"/>
        </w:numPr>
      </w:pPr>
      <w:r>
        <w:rPr>
          <w:rFonts w:hint="eastAsia"/>
        </w:rPr>
        <w:t>规划指标稳定，容积率1.2、限高及配套要求无调整风险</w:t>
      </w:r>
    </w:p>
    <w:p w14:paraId="6D47800F">
      <w:pPr>
        <w:numPr>
          <w:ilvl w:val="0"/>
          <w:numId w:val="1"/>
        </w:numPr>
      </w:pPr>
      <w:r>
        <w:rPr>
          <w:rFonts w:hint="eastAsia"/>
        </w:rPr>
        <w:t>土地款支持分期缴纳：拿地付50%，尾款3个月内结清</w:t>
      </w:r>
    </w:p>
    <w:p w14:paraId="6C7A73C0">
      <w:pPr>
        <w:numPr>
          <w:ilvl w:val="0"/>
          <w:numId w:val="1"/>
        </w:numPr>
      </w:pPr>
      <w:r>
        <w:rPr>
          <w:rFonts w:hint="eastAsia"/>
        </w:rPr>
        <w:t>周边市政水电气暖配套齐全，满足开工建设条件</w:t>
      </w:r>
    </w:p>
    <w:p w14:paraId="08B177FD">
      <w:pPr>
        <w:numPr>
          <w:ilvl w:val="0"/>
          <w:numId w:val="1"/>
        </w:numPr>
      </w:pPr>
      <w:r>
        <w:rPr>
          <w:rFonts w:hint="eastAsia"/>
        </w:rPr>
        <w:t>预设开发节奏：</w:t>
      </w:r>
      <w:r>
        <w:rPr>
          <w:rFonts w:hint="eastAsia"/>
          <w:b/>
          <w:bCs/>
        </w:rPr>
        <w:t>拿地后8个月达到预售开盘，整体24个月完成全盘去化</w:t>
      </w:r>
    </w:p>
    <w:bookmarkEnd w:id="2"/>
    <w:p w14:paraId="080A34E3">
      <w:pPr>
        <w:pStyle w:val="4"/>
      </w:pPr>
      <w:bookmarkStart w:id="3" w:name="Xb46448d8c3825ec6e3af85fd4af34b5932374b6"/>
      <w:r>
        <w:rPr>
          <w:rFonts w:hint="eastAsia"/>
        </w:rPr>
        <w:t>三、资金与综合成本情况</w:t>
      </w:r>
    </w:p>
    <w:p w14:paraId="5E1A8561">
      <w:pPr>
        <w:pStyle w:val="23"/>
      </w:pPr>
      <w:r>
        <w:rPr>
          <w:rFonts w:hint="eastAsia"/>
        </w:rPr>
        <w:t>按既定开发节奏测算，项目资金峰值</w:t>
      </w:r>
      <w:r>
        <w:rPr>
          <w:rFonts w:hint="eastAsia"/>
          <w:b/>
          <w:bCs/>
        </w:rPr>
        <w:t>5.1-5.3亿元</w:t>
      </w:r>
      <w:r>
        <w:rPr>
          <w:rFonts w:hint="eastAsia"/>
        </w:rPr>
        <w:t>，峰值出现在第8个月开盘节点；需预备自有资金</w:t>
      </w:r>
      <w:r>
        <w:rPr>
          <w:rFonts w:hint="eastAsia"/>
          <w:b/>
          <w:bCs/>
        </w:rPr>
        <w:t>1.55-1.6亿元</w:t>
      </w:r>
      <w:r>
        <w:rPr>
          <w:rFonts w:hint="eastAsia"/>
        </w:rPr>
        <w:t>，年化融资成本按6%计。</w:t>
      </w:r>
    </w:p>
    <w:p w14:paraId="14302189">
      <w:pPr>
        <w:pStyle w:val="3"/>
      </w:pPr>
      <w:r>
        <w:rPr>
          <w:rFonts w:hint="eastAsia"/>
        </w:rPr>
        <w:t>全口径综合开发成本约</w:t>
      </w:r>
      <w:r>
        <w:rPr>
          <w:rFonts w:hint="eastAsia"/>
          <w:b/>
          <w:bCs/>
        </w:rPr>
        <w:t>14700元/㎡</w:t>
      </w:r>
      <w:r>
        <w:rPr>
          <w:rFonts w:hint="eastAsia"/>
        </w:rPr>
        <w:t>，现金流整体回正周期27-28个月，资金占用周期较长，利息成本偏高。</w:t>
      </w:r>
    </w:p>
    <w:bookmarkEnd w:id="3"/>
    <w:p w14:paraId="07E3CF93">
      <w:pPr>
        <w:pStyle w:val="4"/>
      </w:pPr>
      <w:bookmarkStart w:id="4" w:name="X5d31f7840961af29a20ebda2c72563d2b4c38ec"/>
      <w:r>
        <w:rPr>
          <w:rFonts w:hint="eastAsia"/>
        </w:rPr>
        <w:t>四、简易财务测算表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74"/>
        <w:gridCol w:w="1896"/>
      </w:tblGrid>
      <w:tr w14:paraId="0455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4D952991">
            <w:pPr>
              <w:pStyle w:val="24"/>
              <w:jc w:val="left"/>
            </w:pPr>
            <w:r>
              <w:rPr>
                <w:rFonts w:hint="eastAsia"/>
              </w:rPr>
              <w:t>测算项目</w:t>
            </w:r>
          </w:p>
        </w:tc>
        <w:tc>
          <w:p w14:paraId="708B56B9">
            <w:pPr>
              <w:pStyle w:val="24"/>
              <w:jc w:val="left"/>
            </w:pPr>
            <w:r>
              <w:rPr>
                <w:rFonts w:hint="eastAsia"/>
              </w:rPr>
              <w:t>单价（元/㎡）</w:t>
            </w:r>
          </w:p>
        </w:tc>
        <w:tc>
          <w:p w14:paraId="1DF2AB18">
            <w:pPr>
              <w:pStyle w:val="24"/>
              <w:jc w:val="left"/>
            </w:pPr>
            <w:r>
              <w:rPr>
                <w:rFonts w:hint="eastAsia"/>
              </w:rPr>
              <w:t>总金额（万元）</w:t>
            </w:r>
          </w:p>
        </w:tc>
      </w:tr>
      <w:tr w14:paraId="1CF1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C32CFB5">
            <w:pPr>
              <w:pStyle w:val="24"/>
              <w:jc w:val="left"/>
            </w:pPr>
            <w:r>
              <w:rPr>
                <w:rFonts w:hint="eastAsia"/>
              </w:rPr>
              <w:t>楼面地价</w:t>
            </w:r>
          </w:p>
        </w:tc>
        <w:tc>
          <w:p w14:paraId="254611EE">
            <w:pPr>
              <w:pStyle w:val="24"/>
              <w:jc w:val="left"/>
            </w:pPr>
            <w:r>
              <w:t>6600</w:t>
            </w:r>
          </w:p>
        </w:tc>
        <w:tc>
          <w:p w14:paraId="1B191ACE">
            <w:pPr>
              <w:pStyle w:val="24"/>
              <w:jc w:val="left"/>
            </w:pPr>
            <w:r>
              <w:t>37861.56</w:t>
            </w:r>
          </w:p>
        </w:tc>
      </w:tr>
      <w:tr w14:paraId="75D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499140F">
            <w:pPr>
              <w:pStyle w:val="24"/>
              <w:jc w:val="left"/>
            </w:pPr>
            <w:r>
              <w:rPr>
                <w:rFonts w:hint="eastAsia"/>
              </w:rPr>
              <w:t>毛坯建安（含地库）</w:t>
            </w:r>
          </w:p>
        </w:tc>
        <w:tc>
          <w:p w14:paraId="0457C3F2">
            <w:pPr>
              <w:pStyle w:val="24"/>
              <w:jc w:val="left"/>
            </w:pPr>
            <w:r>
              <w:t>4100</w:t>
            </w:r>
          </w:p>
        </w:tc>
        <w:tc>
          <w:p w14:paraId="33935BD8">
            <w:pPr>
              <w:pStyle w:val="24"/>
              <w:jc w:val="left"/>
            </w:pPr>
            <w:r>
              <w:t>23520.06</w:t>
            </w:r>
          </w:p>
        </w:tc>
      </w:tr>
      <w:tr w14:paraId="32BB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C549667">
            <w:pPr>
              <w:pStyle w:val="24"/>
              <w:jc w:val="left"/>
            </w:pPr>
            <w:r>
              <w:rPr>
                <w:rFonts w:hint="eastAsia"/>
              </w:rPr>
              <w:t>改善精装成本</w:t>
            </w:r>
          </w:p>
        </w:tc>
        <w:tc>
          <w:p w14:paraId="7E3A16D6">
            <w:pPr>
              <w:pStyle w:val="24"/>
              <w:jc w:val="left"/>
            </w:pPr>
            <w:r>
              <w:t>1800</w:t>
            </w:r>
          </w:p>
        </w:tc>
        <w:tc>
          <w:p w14:paraId="3AA05215">
            <w:pPr>
              <w:pStyle w:val="24"/>
              <w:jc w:val="left"/>
            </w:pPr>
            <w:r>
              <w:t>10325.88</w:t>
            </w:r>
          </w:p>
        </w:tc>
      </w:tr>
      <w:tr w14:paraId="4E12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EA70972">
            <w:pPr>
              <w:pStyle w:val="24"/>
              <w:jc w:val="left"/>
            </w:pPr>
            <w:r>
              <w:rPr>
                <w:rFonts w:hint="eastAsia"/>
              </w:rPr>
              <w:t>营销+管理+税费</w:t>
            </w:r>
          </w:p>
        </w:tc>
        <w:tc>
          <w:p w14:paraId="4E24F444">
            <w:pPr>
              <w:pStyle w:val="24"/>
              <w:jc w:val="left"/>
            </w:pPr>
            <w:r>
              <w:t>1300</w:t>
            </w:r>
          </w:p>
        </w:tc>
        <w:tc>
          <w:p w14:paraId="112218E1">
            <w:pPr>
              <w:pStyle w:val="24"/>
              <w:jc w:val="left"/>
            </w:pPr>
            <w:r>
              <w:t>7457.58</w:t>
            </w:r>
          </w:p>
        </w:tc>
      </w:tr>
      <w:tr w14:paraId="1671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D253148">
            <w:pPr>
              <w:pStyle w:val="24"/>
              <w:jc w:val="left"/>
            </w:pPr>
            <w:r>
              <w:rPr>
                <w:rFonts w:hint="eastAsia"/>
              </w:rPr>
              <w:t>融资财务成本</w:t>
            </w:r>
          </w:p>
        </w:tc>
        <w:tc>
          <w:p w14:paraId="0AB07905">
            <w:pPr>
              <w:pStyle w:val="24"/>
              <w:jc w:val="left"/>
            </w:pPr>
            <w:r>
              <w:t>900</w:t>
            </w:r>
          </w:p>
        </w:tc>
        <w:tc>
          <w:p w14:paraId="4BC76564">
            <w:pPr>
              <w:pStyle w:val="24"/>
              <w:jc w:val="left"/>
            </w:pPr>
            <w:r>
              <w:t>5162.94</w:t>
            </w:r>
          </w:p>
        </w:tc>
      </w:tr>
      <w:tr w14:paraId="0200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474B0A5">
            <w:pPr>
              <w:pStyle w:val="24"/>
              <w:jc w:val="left"/>
            </w:pPr>
            <w:r>
              <w:rPr>
                <w:rFonts w:hint="eastAsia"/>
                <w:b/>
                <w:bCs/>
              </w:rPr>
              <w:t>全口径综合成本</w:t>
            </w:r>
          </w:p>
        </w:tc>
        <w:tc>
          <w:p w14:paraId="09BB8D17">
            <w:pPr>
              <w:pStyle w:val="24"/>
              <w:jc w:val="left"/>
            </w:pPr>
            <w:r>
              <w:rPr>
                <w:b/>
                <w:bCs/>
              </w:rPr>
              <w:t>14700</w:t>
            </w:r>
          </w:p>
        </w:tc>
        <w:tc>
          <w:p w14:paraId="4FA5587B">
            <w:pPr>
              <w:pStyle w:val="24"/>
              <w:jc w:val="left"/>
            </w:pPr>
            <w:r>
              <w:rPr>
                <w:b/>
                <w:bCs/>
              </w:rPr>
              <w:t>84328.02</w:t>
            </w:r>
          </w:p>
        </w:tc>
      </w:tr>
      <w:tr w14:paraId="354D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978A35E">
            <w:pPr>
              <w:pStyle w:val="24"/>
              <w:jc w:val="left"/>
            </w:pPr>
            <w:r>
              <w:rPr>
                <w:rFonts w:hint="eastAsia"/>
              </w:rPr>
              <w:t>预期销售均价</w:t>
            </w:r>
          </w:p>
        </w:tc>
        <w:tc>
          <w:p w14:paraId="6CF108BB">
            <w:pPr>
              <w:pStyle w:val="24"/>
              <w:jc w:val="left"/>
            </w:pPr>
            <w:r>
              <w:t>18000</w:t>
            </w:r>
          </w:p>
        </w:tc>
        <w:tc>
          <w:p w14:paraId="63C3B757">
            <w:pPr>
              <w:pStyle w:val="24"/>
              <w:jc w:val="left"/>
            </w:pPr>
            <w:r>
              <w:t>103258.80</w:t>
            </w:r>
          </w:p>
        </w:tc>
      </w:tr>
      <w:tr w14:paraId="63A3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58CCB2D">
            <w:pPr>
              <w:pStyle w:val="24"/>
              <w:jc w:val="left"/>
            </w:pPr>
            <w:r>
              <w:rPr>
                <w:rFonts w:hint="eastAsia"/>
              </w:rPr>
              <w:t>项目总毛利润</w:t>
            </w:r>
          </w:p>
        </w:tc>
        <w:tc>
          <w:p w14:paraId="3428A7E1">
            <w:pPr>
              <w:pStyle w:val="24"/>
              <w:jc w:val="left"/>
            </w:pPr>
            <w:r>
              <w:t>-</w:t>
            </w:r>
          </w:p>
        </w:tc>
        <w:tc>
          <w:p w14:paraId="733CF357">
            <w:pPr>
              <w:pStyle w:val="24"/>
              <w:jc w:val="left"/>
            </w:pPr>
            <w:r>
              <w:t>18930.78</w:t>
            </w:r>
          </w:p>
        </w:tc>
      </w:tr>
      <w:tr w14:paraId="1021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DDDA267">
            <w:pPr>
              <w:pStyle w:val="24"/>
              <w:jc w:val="left"/>
            </w:pPr>
            <w:r>
              <w:rPr>
                <w:rFonts w:hint="eastAsia"/>
              </w:rPr>
              <w:t>扣除杂费后净利率</w:t>
            </w:r>
          </w:p>
        </w:tc>
        <w:tc>
          <w:p w14:paraId="304551DC">
            <w:pPr>
              <w:pStyle w:val="24"/>
              <w:jc w:val="left"/>
            </w:pPr>
            <w:r>
              <w:t>10.9%</w:t>
            </w:r>
          </w:p>
        </w:tc>
        <w:tc>
          <w:p w14:paraId="395D1BB7">
            <w:pPr>
              <w:pStyle w:val="24"/>
              <w:jc w:val="left"/>
            </w:pPr>
            <w:r>
              <w:t>-</w:t>
            </w:r>
          </w:p>
        </w:tc>
      </w:tr>
      <w:tr w14:paraId="44AD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CDAA3E">
            <w:pPr>
              <w:pStyle w:val="24"/>
              <w:jc w:val="left"/>
            </w:pPr>
            <w:r>
              <w:rPr>
                <w:rFonts w:hint="eastAsia"/>
              </w:rPr>
              <w:t>静态净利润</w:t>
            </w:r>
          </w:p>
        </w:tc>
        <w:tc>
          <w:p w14:paraId="7DCB3F24">
            <w:pPr>
              <w:pStyle w:val="24"/>
              <w:jc w:val="left"/>
            </w:pPr>
            <w:r>
              <w:t>-</w:t>
            </w:r>
          </w:p>
        </w:tc>
        <w:tc>
          <w:p w14:paraId="55CB9EEA">
            <w:pPr>
              <w:pStyle w:val="24"/>
              <w:jc w:val="left"/>
            </w:pPr>
            <w:r>
              <w:t>11300.00</w:t>
            </w:r>
          </w:p>
        </w:tc>
      </w:tr>
      <w:bookmarkEnd w:id="4"/>
    </w:tbl>
    <w:p w14:paraId="0C76D8DD">
      <w:pPr>
        <w:pStyle w:val="4"/>
      </w:pPr>
      <w:bookmarkStart w:id="5" w:name="X0cce48290e758cafe182f1c6db0cec61296f960"/>
      <w:r>
        <w:rPr>
          <w:rFonts w:hint="eastAsia"/>
        </w:rPr>
        <w:t>五、盈利与安全边界</w:t>
      </w:r>
    </w:p>
    <w:p w14:paraId="151EC778">
      <w:pPr>
        <w:pStyle w:val="23"/>
      </w:pPr>
      <w:r>
        <w:rPr>
          <w:rFonts w:hint="eastAsia"/>
        </w:rPr>
        <w:t>项目保本售价16667元/㎡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含税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，当前预期售价18000元/㎡具备充足安全边际，售价下调10%依旧可实现盈亏平衡，全周期投资回报率29.8%。</w:t>
      </w:r>
    </w:p>
    <w:bookmarkEnd w:id="5"/>
    <w:p w14:paraId="246739EE">
      <w:pPr>
        <w:pStyle w:val="4"/>
      </w:pPr>
      <w:bookmarkStart w:id="6" w:name="ux516dux4e3bux8981ux98ceux9669"/>
      <w:r>
        <w:rPr>
          <w:rFonts w:hint="eastAsia"/>
        </w:rPr>
        <w:t>六、主要风险</w:t>
      </w:r>
    </w:p>
    <w:p w14:paraId="5888B941">
      <w:pPr>
        <w:numPr>
          <w:ilvl w:val="0"/>
          <w:numId w:val="2"/>
        </w:numPr>
      </w:pPr>
      <w:r>
        <w:rPr>
          <w:rFonts w:hint="eastAsia"/>
        </w:rPr>
        <w:t>后期片区大量低密地块集中入市，市场竞争加剧</w:t>
      </w:r>
    </w:p>
    <w:p w14:paraId="5FA14234">
      <w:pPr>
        <w:numPr>
          <w:ilvl w:val="0"/>
          <w:numId w:val="2"/>
        </w:numPr>
      </w:pPr>
      <w:r>
        <w:rPr>
          <w:rFonts w:hint="eastAsia"/>
        </w:rPr>
        <w:t>刚需市场降价氛围易影响改善房源定价预期</w:t>
      </w:r>
    </w:p>
    <w:p w14:paraId="50197790">
      <w:pPr>
        <w:numPr>
          <w:ilvl w:val="0"/>
          <w:numId w:val="2"/>
        </w:numPr>
      </w:pPr>
      <w:r>
        <w:rPr>
          <w:rFonts w:hint="eastAsia"/>
        </w:rPr>
        <w:t>若开盘延后、去化慢于24个月，融资利息大幅增加，直接压缩项目利润</w:t>
      </w:r>
    </w:p>
    <w:bookmarkEnd w:id="6"/>
    <w:p w14:paraId="4B4C7B63">
      <w:pPr>
        <w:pStyle w:val="4"/>
      </w:pPr>
      <w:bookmarkStart w:id="7" w:name="ux4e03ux51b3ux7b56ux5efaux8bae"/>
      <w:r>
        <w:rPr>
          <w:rFonts w:hint="eastAsia"/>
        </w:rPr>
        <w:t>七、决策建议</w:t>
      </w:r>
    </w:p>
    <w:p w14:paraId="11973F31">
      <w:pPr>
        <w:pStyle w:val="23"/>
      </w:pPr>
      <w:r>
        <w:rPr>
          <w:rFonts w:hint="eastAsia"/>
        </w:rPr>
        <w:t>拿地前逐项落实前置核查条件，产品定位6-8层纯洋房，</w:t>
      </w:r>
      <w:r>
        <w:rPr>
          <w:rFonts w:hint="eastAsia"/>
          <w:color w:val="FF0000"/>
        </w:rPr>
        <w:t>推行毛坯+可选精装模式</w:t>
      </w:r>
      <w:r>
        <w:rPr>
          <w:rFonts w:hint="eastAsia"/>
        </w:rPr>
        <w:t>，严控工期与融资成本，确保按期开盘加速回款，对冲长期资金占用压力。</w:t>
      </w:r>
    </w:p>
    <w:bookmarkEnd w:id="0"/>
    <w:bookmarkEnd w:id="7"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99201"/>
    <w:multiLevelType w:val="multilevel"/>
    <w:tmpl w:val="00A9920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C8062D"/>
    <w:rsid w:val="006B1FB1"/>
    <w:rsid w:val="009D1868"/>
    <w:rsid w:val="00C57AB6"/>
    <w:rsid w:val="00C8062D"/>
    <w:rsid w:val="3C346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2">
    <w:name w:val="caption"/>
    <w:basedOn w:val="1"/>
    <w:link w:val="21"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4F81BD" w:themeColor="accent1"/>
    </w:rPr>
  </w:style>
  <w:style w:type="character" w:customStyle="1" w:styleId="21">
    <w:name w:val="题注 字符"/>
    <w:basedOn w:val="19"/>
    <w:link w:val="12"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customStyle="1" w:styleId="29">
    <w:name w:val="Definition Term"/>
    <w:basedOn w:val="1"/>
    <w:next w:val="30"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uiPriority w:val="0"/>
  </w:style>
  <w:style w:type="paragraph" w:customStyle="1" w:styleId="31">
    <w:name w:val="Table Caption"/>
    <w:basedOn w:val="12"/>
    <w:uiPriority w:val="0"/>
    <w:pPr>
      <w:keepNext/>
    </w:pPr>
  </w:style>
  <w:style w:type="paragraph" w:customStyle="1" w:styleId="32">
    <w:name w:val="Image Caption"/>
    <w:basedOn w:val="12"/>
    <w:uiPriority w:val="0"/>
  </w:style>
  <w:style w:type="paragraph" w:customStyle="1" w:styleId="33">
    <w:name w:val="Figure"/>
    <w:basedOn w:val="1"/>
    <w:uiPriority w:val="0"/>
  </w:style>
  <w:style w:type="paragraph" w:customStyle="1" w:styleId="34">
    <w:name w:val="Captioned Figure"/>
    <w:basedOn w:val="33"/>
    <w:uiPriority w:val="0"/>
    <w:pPr>
      <w:keepNext/>
    </w:pPr>
  </w:style>
  <w:style w:type="character" w:customStyle="1" w:styleId="35">
    <w:name w:val="Verbatim Char"/>
    <w:basedOn w:val="21"/>
    <w:link w:val="36"/>
    <w:uiPriority w:val="0"/>
    <w:rPr>
      <w:rFonts w:ascii="Consolas" w:hAnsi="Consolas"/>
      <w:sz w:val="22"/>
    </w:rPr>
  </w:style>
  <w:style w:type="paragraph" w:customStyle="1" w:styleId="36">
    <w:name w:val="Source Code"/>
    <w:link w:val="35"/>
    <w:uiPriority w:val="0"/>
    <w:pPr>
      <w:wordWrap w:val="0"/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customStyle="1" w:styleId="37">
    <w:name w:val="Section Number"/>
    <w:basedOn w:val="21"/>
    <w:uiPriority w:val="0"/>
  </w:style>
  <w:style w:type="paragraph" w:customStyle="1" w:styleId="38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66091" w:themeColor="accent1" w:themeShade="BF"/>
    </w:rPr>
  </w:style>
  <w:style w:type="character" w:customStyle="1" w:styleId="39">
    <w:name w:val="KeywordTok"/>
    <w:basedOn w:val="35"/>
    <w:uiPriority w:val="0"/>
    <w:rPr>
      <w:b/>
      <w:color w:val="007020"/>
    </w:rPr>
  </w:style>
  <w:style w:type="character" w:customStyle="1" w:styleId="40">
    <w:name w:val="DataTypeTok"/>
    <w:basedOn w:val="35"/>
    <w:uiPriority w:val="0"/>
    <w:rPr>
      <w:color w:val="902000"/>
    </w:rPr>
  </w:style>
  <w:style w:type="character" w:customStyle="1" w:styleId="41">
    <w:name w:val="DecValTok"/>
    <w:basedOn w:val="35"/>
    <w:uiPriority w:val="0"/>
    <w:rPr>
      <w:color w:val="40A070"/>
    </w:rPr>
  </w:style>
  <w:style w:type="character" w:customStyle="1" w:styleId="42">
    <w:name w:val="BaseNTok"/>
    <w:basedOn w:val="35"/>
    <w:uiPriority w:val="0"/>
    <w:rPr>
      <w:color w:val="40A070"/>
    </w:rPr>
  </w:style>
  <w:style w:type="character" w:customStyle="1" w:styleId="43">
    <w:name w:val="FloatTok"/>
    <w:basedOn w:val="35"/>
    <w:uiPriority w:val="0"/>
    <w:rPr>
      <w:color w:val="40A070"/>
    </w:rPr>
  </w:style>
  <w:style w:type="character" w:customStyle="1" w:styleId="44">
    <w:name w:val="ConstantTok"/>
    <w:basedOn w:val="35"/>
    <w:qFormat/>
    <w:uiPriority w:val="0"/>
    <w:rPr>
      <w:color w:val="880000"/>
    </w:rPr>
  </w:style>
  <w:style w:type="character" w:customStyle="1" w:styleId="45">
    <w:name w:val="CharTok"/>
    <w:basedOn w:val="35"/>
    <w:uiPriority w:val="0"/>
    <w:rPr>
      <w:color w:val="4070A0"/>
    </w:rPr>
  </w:style>
  <w:style w:type="character" w:customStyle="1" w:styleId="46">
    <w:name w:val="SpecialCharTok"/>
    <w:basedOn w:val="35"/>
    <w:uiPriority w:val="0"/>
    <w:rPr>
      <w:color w:val="4070A0"/>
    </w:rPr>
  </w:style>
  <w:style w:type="character" w:customStyle="1" w:styleId="47">
    <w:name w:val="StringTok"/>
    <w:basedOn w:val="35"/>
    <w:uiPriority w:val="0"/>
    <w:rPr>
      <w:color w:val="4070A0"/>
    </w:rPr>
  </w:style>
  <w:style w:type="character" w:customStyle="1" w:styleId="48">
    <w:name w:val="VerbatimStringTok"/>
    <w:basedOn w:val="35"/>
    <w:uiPriority w:val="0"/>
    <w:rPr>
      <w:color w:val="4070A0"/>
    </w:rPr>
  </w:style>
  <w:style w:type="character" w:customStyle="1" w:styleId="49">
    <w:name w:val="SpecialStringTok"/>
    <w:basedOn w:val="35"/>
    <w:uiPriority w:val="0"/>
    <w:rPr>
      <w:color w:val="BB6688"/>
    </w:rPr>
  </w:style>
  <w:style w:type="character" w:customStyle="1" w:styleId="50">
    <w:name w:val="ImportTok"/>
    <w:basedOn w:val="35"/>
    <w:uiPriority w:val="0"/>
    <w:rPr>
      <w:b/>
      <w:color w:val="008000"/>
    </w:rPr>
  </w:style>
  <w:style w:type="character" w:customStyle="1" w:styleId="51">
    <w:name w:val="CommentTok"/>
    <w:basedOn w:val="35"/>
    <w:uiPriority w:val="0"/>
    <w:rPr>
      <w:i/>
      <w:color w:val="60A0B0"/>
    </w:rPr>
  </w:style>
  <w:style w:type="character" w:customStyle="1" w:styleId="52">
    <w:name w:val="DocumentationTok"/>
    <w:basedOn w:val="35"/>
    <w:uiPriority w:val="0"/>
    <w:rPr>
      <w:i/>
      <w:color w:val="BA2121"/>
    </w:rPr>
  </w:style>
  <w:style w:type="character" w:customStyle="1" w:styleId="53">
    <w:name w:val="AnnotationTok"/>
    <w:basedOn w:val="35"/>
    <w:uiPriority w:val="0"/>
    <w:rPr>
      <w:b/>
      <w:i/>
      <w:color w:val="60A0B0"/>
    </w:rPr>
  </w:style>
  <w:style w:type="character" w:customStyle="1" w:styleId="54">
    <w:name w:val="CommentVarTok"/>
    <w:basedOn w:val="35"/>
    <w:uiPriority w:val="0"/>
    <w:rPr>
      <w:b/>
      <w:i/>
      <w:color w:val="60A0B0"/>
    </w:rPr>
  </w:style>
  <w:style w:type="character" w:customStyle="1" w:styleId="55">
    <w:name w:val="OtherTok"/>
    <w:basedOn w:val="35"/>
    <w:uiPriority w:val="0"/>
    <w:rPr>
      <w:color w:val="007020"/>
    </w:rPr>
  </w:style>
  <w:style w:type="character" w:customStyle="1" w:styleId="56">
    <w:name w:val="FunctionTok"/>
    <w:basedOn w:val="35"/>
    <w:qFormat/>
    <w:uiPriority w:val="0"/>
    <w:rPr>
      <w:color w:val="06287E"/>
    </w:rPr>
  </w:style>
  <w:style w:type="character" w:customStyle="1" w:styleId="57">
    <w:name w:val="VariableTok"/>
    <w:basedOn w:val="35"/>
    <w:uiPriority w:val="0"/>
    <w:rPr>
      <w:color w:val="19177C"/>
    </w:rPr>
  </w:style>
  <w:style w:type="character" w:customStyle="1" w:styleId="58">
    <w:name w:val="ControlFlowTok"/>
    <w:basedOn w:val="35"/>
    <w:qFormat/>
    <w:uiPriority w:val="0"/>
    <w:rPr>
      <w:b/>
      <w:color w:val="007020"/>
    </w:rPr>
  </w:style>
  <w:style w:type="character" w:customStyle="1" w:styleId="59">
    <w:name w:val="OperatorTok"/>
    <w:basedOn w:val="35"/>
    <w:uiPriority w:val="0"/>
    <w:rPr>
      <w:color w:val="666666"/>
    </w:rPr>
  </w:style>
  <w:style w:type="character" w:customStyle="1" w:styleId="60">
    <w:name w:val="BuiltInTok"/>
    <w:basedOn w:val="35"/>
    <w:uiPriority w:val="0"/>
    <w:rPr>
      <w:color w:val="008000"/>
    </w:rPr>
  </w:style>
  <w:style w:type="character" w:customStyle="1" w:styleId="61">
    <w:name w:val="ExtensionTok"/>
    <w:basedOn w:val="35"/>
    <w:uiPriority w:val="0"/>
  </w:style>
  <w:style w:type="character" w:customStyle="1" w:styleId="62">
    <w:name w:val="PreprocessorTok"/>
    <w:basedOn w:val="35"/>
    <w:uiPriority w:val="0"/>
    <w:rPr>
      <w:color w:val="BC7A00"/>
    </w:rPr>
  </w:style>
  <w:style w:type="character" w:customStyle="1" w:styleId="63">
    <w:name w:val="AttributeTok"/>
    <w:basedOn w:val="35"/>
    <w:uiPriority w:val="0"/>
    <w:rPr>
      <w:color w:val="7D9029"/>
    </w:rPr>
  </w:style>
  <w:style w:type="character" w:customStyle="1" w:styleId="64">
    <w:name w:val="RegionMarkerTok"/>
    <w:basedOn w:val="35"/>
    <w:uiPriority w:val="0"/>
  </w:style>
  <w:style w:type="character" w:customStyle="1" w:styleId="65">
    <w:name w:val="InformationTok"/>
    <w:basedOn w:val="35"/>
    <w:uiPriority w:val="0"/>
    <w:rPr>
      <w:b/>
      <w:i/>
      <w:color w:val="60A0B0"/>
    </w:rPr>
  </w:style>
  <w:style w:type="character" w:customStyle="1" w:styleId="66">
    <w:name w:val="WarningTok"/>
    <w:basedOn w:val="35"/>
    <w:uiPriority w:val="0"/>
    <w:rPr>
      <w:b/>
      <w:i/>
      <w:color w:val="60A0B0"/>
    </w:rPr>
  </w:style>
  <w:style w:type="character" w:customStyle="1" w:styleId="67">
    <w:name w:val="AlertTok"/>
    <w:basedOn w:val="35"/>
    <w:qFormat/>
    <w:uiPriority w:val="0"/>
    <w:rPr>
      <w:b/>
      <w:color w:val="FF0000"/>
    </w:rPr>
  </w:style>
  <w:style w:type="character" w:customStyle="1" w:styleId="68">
    <w:name w:val="ErrorTok"/>
    <w:basedOn w:val="35"/>
    <w:uiPriority w:val="0"/>
    <w:rPr>
      <w:b/>
      <w:color w:val="FF0000"/>
    </w:rPr>
  </w:style>
  <w:style w:type="character" w:customStyle="1" w:styleId="69">
    <w:name w:val="NormalTok"/>
    <w:basedOn w:val="3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887</Characters>
  <Lines>3</Lines>
  <Paragraphs>1</Paragraphs>
  <TotalTime>14</TotalTime>
  <ScaleCrop>false</ScaleCrop>
  <LinksUpToDate>false</LinksUpToDate>
  <CharactersWithSpaces>887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2026-05-18T03:42:00Z</dcterms:created>
  <dc:creator>亓翔</dc:creator>
  <cp:lastModifiedBy>亓翔</cp:lastModifiedBy>
  <dcterms:modified xsi:type="dcterms:W3CDTF">2026-05-18T03:47:40Z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eyJoZGlkIjoiNWFhZjI1NjQ5ODE4MWQxMTUwZTdjNzMxNzc5YTUyZWYiLCJ1c2VySWQiOiI0MjEzMjU3MjMifQ==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C87577593CC74D8896D308E40A8C1D20_12</vt:lpwstr>
  </property>
</Properties>
</file>