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6AC2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ind w:firstLine="1807" w:firstLineChars="500"/>
        <w:jc w:val="both"/>
        <w:textAlignment w:val="auto"/>
        <w:rPr>
          <w:rFonts w:hint="default" w:ascii="仿宋" w:hAnsi="仿宋" w:eastAsia="仿宋" w:cs="仿宋"/>
          <w:b/>
          <w:bCs/>
          <w:sz w:val="36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6"/>
          <w:szCs w:val="32"/>
          <w:lang w:val="en-US" w:eastAsia="zh-CN"/>
        </w:rPr>
        <w:t>中山项目融资基本情况</w:t>
      </w:r>
    </w:p>
    <w:p w14:paraId="2579F1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:sz w:val="24"/>
          <w:szCs w:val="2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2"/>
          <w:lang w:val="en-US" w:eastAsia="zh-CN"/>
        </w:rPr>
        <w:t>一、背景交代</w:t>
      </w:r>
    </w:p>
    <w:p w14:paraId="12DCBC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2"/>
        </w:rPr>
      </w:pPr>
      <w:r>
        <w:rPr>
          <w:rFonts w:hint="eastAsia" w:ascii="仿宋" w:hAnsi="仿宋" w:eastAsia="仿宋" w:cs="仿宋"/>
          <w:sz w:val="24"/>
          <w:szCs w:val="22"/>
        </w:rPr>
        <w:t xml:space="preserve">2020年7月7日中山法院受理中山市盈顺置业有限公司（以下简称盈顺公司）破产清算一案，2021年10月8日各债权人表决通过《重整计划草案（预案）》， 2021年10月11日中山市第一人民法院作出（2020）粤2071破10号之一《民事裁定书》，裁定盈顺公司进行重整。 </w:t>
      </w:r>
    </w:p>
    <w:p w14:paraId="1FF8FC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2"/>
        </w:rPr>
      </w:pPr>
      <w:r>
        <w:rPr>
          <w:rFonts w:hint="eastAsia" w:ascii="仿宋" w:hAnsi="仿宋" w:eastAsia="仿宋" w:cs="仿宋"/>
          <w:sz w:val="24"/>
          <w:szCs w:val="22"/>
        </w:rPr>
        <w:t xml:space="preserve">2021年10月12日，中山市第一人民法院作出（2020）粤2071破10号之二《民事裁定书》，裁定批准《中山市盈顺置业有限公司重整计划草案》（以下简称重整计划）并终止盈顺公司重整程序，深圳市海维实业集团有限公司（以下简称海维集团）是盈顺公司的重整投资人，已按照重整计划规定支付完毕重整投资款4.58亿元；盈顺公司100%股权于2022年1月11日过户至海维集团全资子公司深圳市信盈达睿实业有限公司名下。 </w:t>
      </w:r>
    </w:p>
    <w:p w14:paraId="144D2D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2"/>
        </w:rPr>
      </w:pPr>
      <w:r>
        <w:rPr>
          <w:rFonts w:hint="eastAsia" w:ascii="仿宋" w:hAnsi="仿宋" w:eastAsia="仿宋" w:cs="仿宋"/>
          <w:sz w:val="24"/>
          <w:szCs w:val="22"/>
        </w:rPr>
        <w:t xml:space="preserve">中山市第一人民法院于2022年4月8日出具（2020）粤2071破10号之三民事裁定书，已确认盈顺置业重整计划执行完毕，并终结盈顺置业破产程序。 </w:t>
      </w:r>
    </w:p>
    <w:p w14:paraId="644872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2"/>
        </w:rPr>
      </w:pPr>
      <w:r>
        <w:rPr>
          <w:rFonts w:hint="eastAsia" w:ascii="仿宋" w:hAnsi="仿宋" w:eastAsia="仿宋" w:cs="仿宋"/>
          <w:sz w:val="24"/>
          <w:szCs w:val="22"/>
        </w:rPr>
        <w:t>2024年8月15日，盈顺公司与中山市自然资源局签订《国有建设用地使用权出让合同补充协议》，约定了项目土地经多年未开发造成的闲置属政府原因造成，解决了项目疑似闲置问题，后续正式进入报批报建阶段。</w:t>
      </w:r>
    </w:p>
    <w:p w14:paraId="10052C43">
      <w:pPr>
        <w:rPr>
          <w:rFonts w:hint="eastAsia" w:ascii="仿宋" w:hAnsi="仿宋" w:eastAsia="仿宋" w:cs="仿宋"/>
          <w:sz w:val="24"/>
          <w:szCs w:val="32"/>
          <w:lang w:val="en-US" w:eastAsia="zh-CN"/>
        </w:rPr>
      </w:pPr>
    </w:p>
    <w:p w14:paraId="1E10C5DF"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32"/>
          <w:lang w:val="en-US" w:eastAsia="zh-CN"/>
        </w:rPr>
        <w:t>项目经济指标</w:t>
      </w:r>
    </w:p>
    <w:p w14:paraId="0E3C3BDC">
      <w:pPr>
        <w:numPr>
          <w:ilvl w:val="0"/>
          <w:numId w:val="0"/>
        </w:numPr>
        <w:rPr>
          <w:rFonts w:hint="eastAsia" w:ascii="仿宋" w:hAnsi="仿宋" w:eastAsia="仿宋" w:cs="仿宋"/>
          <w:b/>
          <w:bCs/>
          <w:sz w:val="24"/>
          <w:szCs w:val="32"/>
          <w:lang w:val="en-US" w:eastAsia="zh-CN"/>
        </w:rPr>
      </w:pPr>
    </w:p>
    <w:p w14:paraId="2BE1E8EF">
      <w:pPr>
        <w:spacing w:line="360" w:lineRule="auto"/>
        <w:rPr>
          <w:rFonts w:hint="eastAsia" w:ascii="仿宋" w:hAnsi="仿宋" w:eastAsia="仿宋" w:cs="仿宋"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地块位置：中山市南区马岭村，占地面积约125亩（83,333.3平方米）</w:t>
      </w:r>
    </w:p>
    <w:p w14:paraId="4E946743">
      <w:pPr>
        <w:spacing w:line="360" w:lineRule="auto"/>
        <w:rPr>
          <w:rFonts w:hint="eastAsia" w:ascii="仿宋" w:hAnsi="仿宋" w:eastAsia="仿宋" w:cs="仿宋"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容积率：1.5，计容建筑面积：约125,000平方米</w:t>
      </w:r>
    </w:p>
    <w:p w14:paraId="1C897FA1">
      <w:pPr>
        <w:spacing w:line="360" w:lineRule="auto"/>
        <w:rPr>
          <w:rFonts w:hint="eastAsia" w:ascii="仿宋" w:hAnsi="仿宋" w:eastAsia="仿宋" w:cs="仿宋"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土地现状：地块已平整随时可报建开工，产权清晰。土地成本约4.58亿元，折算楼面地价约为3600元/平方米</w:t>
      </w:r>
    </w:p>
    <w:p w14:paraId="5D0EBF86">
      <w:pPr>
        <w:spacing w:line="360" w:lineRule="auto"/>
        <w:rPr>
          <w:rFonts w:hint="eastAsia" w:ascii="仿宋" w:hAnsi="仿宋" w:eastAsia="仿宋" w:cs="仿宋"/>
          <w:sz w:val="24"/>
          <w:szCs w:val="32"/>
          <w:lang w:val="en-US" w:eastAsia="zh-CN"/>
        </w:rPr>
      </w:pPr>
    </w:p>
    <w:p w14:paraId="51756332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仿宋" w:hAnsi="仿宋" w:eastAsia="仿宋" w:cs="仿宋"/>
          <w:b/>
          <w:bCs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32"/>
          <w:lang w:val="en-US" w:eastAsia="zh-CN"/>
        </w:rPr>
        <w:t>融资情况</w:t>
      </w:r>
    </w:p>
    <w:p w14:paraId="40BB4CC1">
      <w:pPr>
        <w:numPr>
          <w:ilvl w:val="0"/>
          <w:numId w:val="0"/>
        </w:numPr>
        <w:spacing w:line="360" w:lineRule="auto"/>
        <w:ind w:leftChars="0"/>
        <w:rPr>
          <w:rFonts w:hint="eastAsia" w:ascii="仿宋" w:hAnsi="仿宋" w:eastAsia="仿宋" w:cs="仿宋"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3.1 项目公司向浙商资产融资约2.5亿元，本息已还掉大部分，目前尚欠本金约0.8亿元,2028年到期，目前正常还款。项目公司股权质押+土地抵押给浙商资产，无其他债权债务纠纷。</w:t>
      </w:r>
    </w:p>
    <w:p w14:paraId="73288B8A">
      <w:pPr>
        <w:numPr>
          <w:ilvl w:val="0"/>
          <w:numId w:val="0"/>
        </w:numPr>
        <w:spacing w:line="360" w:lineRule="auto"/>
        <w:ind w:leftChars="0"/>
        <w:rPr>
          <w:rFonts w:hint="eastAsia" w:ascii="仿宋" w:hAnsi="仿宋" w:eastAsia="仿宋" w:cs="仿宋"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3.2 本次融资需求约8千万，其中2千万用于报建，另外6千万用于滚动开发。</w:t>
      </w:r>
    </w:p>
    <w:p w14:paraId="569A7AFB">
      <w:pPr>
        <w:numPr>
          <w:ilvl w:val="0"/>
          <w:numId w:val="0"/>
        </w:numPr>
        <w:spacing w:line="360" w:lineRule="auto"/>
        <w:ind w:leftChars="0"/>
        <w:rPr>
          <w:rFonts w:hint="eastAsia" w:ascii="仿宋" w:hAnsi="仿宋" w:eastAsia="仿宋" w:cs="仿宋"/>
          <w:b/>
          <w:bCs/>
          <w:sz w:val="24"/>
          <w:szCs w:val="22"/>
        </w:rPr>
      </w:pP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3.3  可在建工程抵押给资金方，还款通过销售回款+开发贷偿还。</w:t>
      </w:r>
    </w:p>
    <w:sectPr>
      <w:pgSz w:w="11300" w:h="1920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198AA20"/>
    <w:multiLevelType w:val="singleLevel"/>
    <w:tmpl w:val="7198AA2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4EB6681"/>
    <w:rsid w:val="0DC932D7"/>
    <w:rsid w:val="14241EA1"/>
    <w:rsid w:val="14985BD3"/>
    <w:rsid w:val="1BE4116E"/>
    <w:rsid w:val="2C992537"/>
    <w:rsid w:val="3AD13648"/>
    <w:rsid w:val="428930AD"/>
    <w:rsid w:val="4DAB7D28"/>
    <w:rsid w:val="4FDA072A"/>
    <w:rsid w:val="526130AB"/>
    <w:rsid w:val="5C02145B"/>
    <w:rsid w:val="5CD17C93"/>
    <w:rsid w:val="646A7379"/>
    <w:rsid w:val="76D35A76"/>
    <w:rsid w:val="794C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unhideWhenUsed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eastAsia" w:ascii="微软雅黑" w:hAnsi="微软雅黑" w:eastAsia="微软雅黑" w:cstheme="minorBidi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700</Words>
  <Characters>792</Characters>
  <Lines>0</Lines>
  <Paragraphs>0</Paragraphs>
  <TotalTime>17</TotalTime>
  <ScaleCrop>false</ScaleCrop>
  <LinksUpToDate>false</LinksUpToDate>
  <CharactersWithSpaces>800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2026-04-16T07:37:00Z</dcterms:created>
  <dc:creator>郭祥勤</dc:creator>
  <cp:lastModifiedBy> 天才白痴梦</cp:lastModifiedBy>
  <dcterms:modified xsi:type="dcterms:W3CDTF">2026-07-12T06:16:35Z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0313E0A96AC94D7182DA7B8AEAE89316_11</vt:lpwstr>
  </property>
  <property fmtid="{D5CDD505-2E9C-101B-9397-08002B2CF9AE}" pid="4" name="KSOTemplateDocerSaveRecord">
    <vt:lpwstr>eyJoZGlkIjoiN2I1N2QzMTkyNWNjYjc2MzRjNjVkNDc4MWJkMDFhYzYiLCJ1c2VySWQiOiIyNjIwMDQ2NTYifQ==</vt:lpwstr>
  </property>
</Properties>
</file>