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20BC4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达州市万源万田煤矿基本情况调研报告</w:t>
      </w:r>
    </w:p>
    <w:p w14:paraId="63C5A827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一、项目基本概况</w:t>
      </w:r>
      <w:bookmarkEnd w:id="0"/>
    </w:p>
    <w:p w14:paraId="125C32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达州市万源万田煤矿隶属于达州市万源万田煤业有限公司，矿区坐落于四川省达州市万源市白沙镇九村二社（大面山村牟家坝组），矿区面积 1.401 平方公里，开采矿种为煤炭，是万源市本地合规存续的煤炭生产矿井。</w:t>
      </w:r>
    </w:p>
    <w:p w14:paraId="46704B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矿井原核定生产产能为</w:t>
      </w:r>
      <w:r>
        <w:rPr>
          <w:rFonts w:ascii="Arial" w:hAnsi="Arial" w:eastAsia="等线" w:cs="Arial"/>
          <w:b/>
          <w:sz w:val="22"/>
        </w:rPr>
        <w:t>9 万吨 / 年</w:t>
      </w:r>
      <w:r>
        <w:rPr>
          <w:rFonts w:ascii="Arial" w:hAnsi="Arial" w:eastAsia="等线" w:cs="Arial"/>
          <w:sz w:val="22"/>
        </w:rPr>
        <w:t>，为响应四川省煤炭产业升级、小型煤矿提质增效的行业政策，该矿纳入地方 30 万吨以下分类处置矿独立升级改造计划，实施扩能技改项目，</w:t>
      </w:r>
      <w:r>
        <w:rPr>
          <w:rFonts w:ascii="Arial" w:hAnsi="Arial" w:eastAsia="等线" w:cs="Arial"/>
          <w:b/>
          <w:sz w:val="22"/>
        </w:rPr>
        <w:t>规划扩容至年产 30 万吨</w:t>
      </w:r>
      <w:r>
        <w:rPr>
          <w:rFonts w:ascii="Arial" w:hAnsi="Arial" w:eastAsia="等线" w:cs="Arial"/>
          <w:sz w:val="22"/>
        </w:rPr>
        <w:t>，属于合法合规的改扩建升级项目，符合区域煤炭行业发展规划要求。</w:t>
      </w:r>
    </w:p>
    <w:p w14:paraId="4B27991B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二、扩能技改手续办理情况</w:t>
      </w:r>
      <w:bookmarkEnd w:id="1"/>
    </w:p>
    <w:p w14:paraId="275AD8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 30 万吨 / 年独立升级改造项目手续齐全、审批完备，全流程专家评审及行政审核已全部完成，无手续瑕疵、无审批遗留问题，无需重新申报、评审。</w:t>
      </w:r>
    </w:p>
    <w:p w14:paraId="26469426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核心审批手续办结</w:t>
      </w:r>
      <w:r>
        <w:rPr>
          <w:rFonts w:ascii="Arial" w:hAnsi="Arial" w:eastAsia="等线" w:cs="Arial"/>
          <w:sz w:val="22"/>
        </w:rPr>
        <w:t>：已完整取得项目核准批复、矿井初步设计批复、安全设施设计审查批复、环境影响评价审批等全部法定技改手续，达州市相关主管部门已完成公示及备案。</w:t>
      </w:r>
    </w:p>
    <w:p w14:paraId="66169105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专家评审全部通过</w:t>
      </w:r>
      <w:r>
        <w:rPr>
          <w:rFonts w:ascii="Arial" w:hAnsi="Arial" w:eastAsia="等线" w:cs="Arial"/>
          <w:sz w:val="22"/>
        </w:rPr>
        <w:t>：矿井地质勘查、技改设计、安全生产、环保合规、开采方案等所有专项专家评审工作全面收尾，评审结论均为合格通过，满足 30 万吨产能技改的全部前置技术要求。</w:t>
      </w:r>
    </w:p>
    <w:p w14:paraId="1066AE62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采矿权合规认定</w:t>
      </w:r>
      <w:r>
        <w:rPr>
          <w:rFonts w:ascii="Arial" w:hAnsi="Arial" w:eastAsia="等线" w:cs="Arial"/>
          <w:sz w:val="22"/>
        </w:rPr>
        <w:t>：自然资源部门已完成该矿 30 万吨 / 年产能采矿权协议出让前期审核，产能扩容的行政准入条件已完全具备。</w:t>
      </w:r>
    </w:p>
    <w:p w14:paraId="0D233D6F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三、采矿许可证办理核心条件</w:t>
      </w:r>
      <w:bookmarkEnd w:id="2"/>
    </w:p>
    <w:p w14:paraId="031D76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当前矿井 30 万吨 / 年扩能项目</w:t>
      </w:r>
      <w:r>
        <w:rPr>
          <w:rFonts w:ascii="Arial" w:hAnsi="Arial" w:eastAsia="等线" w:cs="Arial"/>
          <w:b/>
          <w:sz w:val="22"/>
        </w:rPr>
        <w:t>所有审批、评审工作已闭环，无任何技术及行政阻碍</w:t>
      </w:r>
      <w:r>
        <w:rPr>
          <w:rFonts w:ascii="Arial" w:hAnsi="Arial" w:eastAsia="等线" w:cs="Arial"/>
          <w:sz w:val="22"/>
        </w:rPr>
        <w:t>，办理新版采矿许可证仅剩余唯一前置条件：</w:t>
      </w:r>
      <w:r>
        <w:rPr>
          <w:rFonts w:ascii="Arial" w:hAnsi="Arial" w:eastAsia="等线" w:cs="Arial"/>
          <w:b/>
          <w:sz w:val="22"/>
        </w:rPr>
        <w:t>缴纳采矿权资源价款（资源费）</w:t>
      </w:r>
      <w:r>
        <w:rPr>
          <w:rFonts w:ascii="Arial" w:hAnsi="Arial" w:eastAsia="等线" w:cs="Arial"/>
          <w:sz w:val="22"/>
        </w:rPr>
        <w:t>。</w:t>
      </w:r>
    </w:p>
    <w:p w14:paraId="37062B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根据自然资源部门核定标准，该矿资源费缴纳标准为</w:t>
      </w:r>
      <w:r>
        <w:rPr>
          <w:rFonts w:ascii="Arial" w:hAnsi="Arial" w:eastAsia="等线" w:cs="Arial"/>
          <w:b/>
          <w:sz w:val="22"/>
        </w:rPr>
        <w:t>16 元 / 吨</w:t>
      </w:r>
      <w:r>
        <w:rPr>
          <w:rFonts w:ascii="Arial" w:hAnsi="Arial" w:eastAsia="等线" w:cs="Arial"/>
          <w:sz w:val="22"/>
        </w:rPr>
        <w:t>，足额缴清对应资源价款后，即可直接申领</w:t>
      </w:r>
      <w:r>
        <w:rPr>
          <w:rFonts w:ascii="Arial" w:hAnsi="Arial" w:eastAsia="等线" w:cs="Arial"/>
          <w:b/>
          <w:sz w:val="22"/>
        </w:rPr>
        <w:t>年产 30 万吨规模的正式采矿许可证</w:t>
      </w:r>
      <w:r>
        <w:rPr>
          <w:rFonts w:ascii="Arial" w:hAnsi="Arial" w:eastAsia="等线" w:cs="Arial"/>
          <w:sz w:val="22"/>
        </w:rPr>
        <w:t>，取证流程简单、审批时效快，取证后可正式开展技改施工与规模化生产。</w:t>
      </w:r>
    </w:p>
    <w:p w14:paraId="4605B003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四、矿井生产经营现状</w:t>
      </w:r>
      <w:bookmarkEnd w:id="3"/>
    </w:p>
    <w:p w14:paraId="671628FD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生产状态</w:t>
      </w:r>
      <w:r>
        <w:rPr>
          <w:rFonts w:ascii="Arial" w:hAnsi="Arial" w:eastAsia="等线" w:cs="Arial"/>
          <w:sz w:val="22"/>
        </w:rPr>
        <w:t>：矿井已</w:t>
      </w:r>
      <w:r>
        <w:rPr>
          <w:rFonts w:ascii="Arial" w:hAnsi="Arial" w:eastAsia="等线" w:cs="Arial"/>
          <w:b/>
          <w:sz w:val="22"/>
        </w:rPr>
        <w:t>停产近 2 年</w:t>
      </w:r>
      <w:r>
        <w:rPr>
          <w:rFonts w:ascii="Arial" w:hAnsi="Arial" w:eastAsia="等线" w:cs="Arial"/>
          <w:sz w:val="22"/>
        </w:rPr>
        <w:t>，井下采掘作业全面暂停，矿区仅保留基础值守人员，做好矿区设备看护、场地维护、安全巡查等基础工作，矿井巷道、设备、地面附属设施保存完好，无重大损毁、无安全遗留隐患。</w:t>
      </w:r>
    </w:p>
    <w:p w14:paraId="22B8333B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技改基础</w:t>
      </w:r>
      <w:r>
        <w:rPr>
          <w:rFonts w:ascii="Arial" w:hAnsi="Arial" w:eastAsia="等线" w:cs="Arial"/>
          <w:sz w:val="22"/>
        </w:rPr>
        <w:t>：项目前期基础筹备工作基本到位，技改方案成熟、施工条件完备，取得采矿证后可快速复工复产、推进技改落地，快速实现 30 万吨满产运营。</w:t>
      </w:r>
    </w:p>
    <w:p w14:paraId="7925EA90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五、企业债务情况</w:t>
      </w:r>
      <w:bookmarkEnd w:id="4"/>
    </w:p>
    <w:p w14:paraId="2E7119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经核实，万田煤矿当前存量</w:t>
      </w:r>
      <w:r>
        <w:rPr>
          <w:rFonts w:ascii="Arial" w:hAnsi="Arial" w:eastAsia="等线" w:cs="Arial"/>
          <w:b/>
          <w:sz w:val="22"/>
        </w:rPr>
        <w:t>对外债务总额 2600 万元</w:t>
      </w:r>
      <w:r>
        <w:rPr>
          <w:rFonts w:ascii="Arial" w:hAnsi="Arial" w:eastAsia="等线" w:cs="Arial"/>
          <w:sz w:val="22"/>
        </w:rPr>
        <w:t>，该部分历史债务为矿井长期停产、未能及时续产创收的核心原因，也是导致资源费无法按期缴纳、采矿证未能及时换发、技改项目停滞的主要制约因素。目前无新增不良债务、无重大涉诉纠纷叠加风险。</w:t>
      </w:r>
    </w:p>
    <w:p w14:paraId="252C7F97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六、项目核心价值与优势</w:t>
      </w:r>
      <w:bookmarkEnd w:id="5"/>
    </w:p>
    <w:p w14:paraId="21F2D908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手续优势稀缺</w:t>
      </w:r>
      <w:r>
        <w:rPr>
          <w:rFonts w:ascii="Arial" w:hAnsi="Arial" w:eastAsia="等线" w:cs="Arial"/>
          <w:sz w:val="22"/>
        </w:rPr>
        <w:t>：在当前煤炭行业审批收紧、技改准入严格的背景下，本项目</w:t>
      </w:r>
      <w:r>
        <w:rPr>
          <w:rFonts w:ascii="Arial" w:hAnsi="Arial" w:eastAsia="等线" w:cs="Arial"/>
          <w:b/>
          <w:sz w:val="22"/>
        </w:rPr>
        <w:t>全套扩能审批、专家评审全部落地</w:t>
      </w:r>
      <w:r>
        <w:rPr>
          <w:rFonts w:ascii="Arial" w:hAnsi="Arial" w:eastAsia="等线" w:cs="Arial"/>
          <w:sz w:val="22"/>
        </w:rPr>
        <w:t>，是区域内极少数手续完备、可直接落地的 30 万吨级煤矿技改项目，大幅节省时间成本与申报成本。</w:t>
      </w:r>
    </w:p>
    <w:p w14:paraId="4BC15160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投产门槛极低</w:t>
      </w:r>
      <w:r>
        <w:rPr>
          <w:rFonts w:ascii="Arial" w:hAnsi="Arial" w:eastAsia="等线" w:cs="Arial"/>
          <w:sz w:val="22"/>
        </w:rPr>
        <w:t>：仅需缴纳固定标准资源费即可取证复工，无后续复杂审批流程，投产落地周期短、见效快。</w:t>
      </w:r>
    </w:p>
    <w:p w14:paraId="347695BF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产能升级红利</w:t>
      </w:r>
      <w:r>
        <w:rPr>
          <w:rFonts w:ascii="Arial" w:hAnsi="Arial" w:eastAsia="等线" w:cs="Arial"/>
          <w:sz w:val="22"/>
        </w:rPr>
        <w:t>：从 9 万吨小产能扩容至 30 万吨合规产能，产能规模翻倍增长，符合煤炭行业规模化、规范化发展趋势，投产后营收能力、市场竞争力、抗风险能力大幅提升。</w:t>
      </w:r>
    </w:p>
    <w:p w14:paraId="125BAB56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区位资源稳定</w:t>
      </w:r>
      <w:r>
        <w:rPr>
          <w:rFonts w:ascii="Arial" w:hAnsi="Arial" w:eastAsia="等线" w:cs="Arial"/>
          <w:sz w:val="22"/>
        </w:rPr>
        <w:t>：矿区资源储量稳定、开采条件成熟，配套基础完善，依托川东北能源市场需求，具备稳定的生产经营与盈利基础。</w:t>
      </w:r>
    </w:p>
    <w:p w14:paraId="56C0180B">
      <w:pPr>
        <w:numPr>
          <w:ilvl w:val="0"/>
          <w:numId w:val="10"/>
        </w:num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交易条件</w:t>
      </w:r>
      <w:bookmarkStart w:id="8" w:name="_GoBack"/>
      <w:bookmarkEnd w:id="8"/>
    </w:p>
    <w:p w14:paraId="1DC9C543">
      <w:pPr>
        <w:numPr>
          <w:ilvl w:val="0"/>
          <w:numId w:val="11"/>
        </w:num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出让价格总计人民币1.1亿元。</w:t>
      </w:r>
    </w:p>
    <w:p w14:paraId="33890304">
      <w:pPr>
        <w:numPr>
          <w:ilvl w:val="0"/>
          <w:numId w:val="11"/>
        </w:numPr>
        <w:spacing w:before="120" w:after="120" w:line="288" w:lineRule="auto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出让方的债权债务自行解决。</w:t>
      </w:r>
    </w:p>
    <w:p w14:paraId="1377FE13">
      <w:pPr>
        <w:numPr>
          <w:ilvl w:val="0"/>
          <w:numId w:val="11"/>
        </w:numPr>
        <w:spacing w:before="120" w:after="120" w:line="288" w:lineRule="auto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投产后每年上缴国家的资源费由购买方自行缴纳。</w:t>
      </w:r>
    </w:p>
    <w:p w14:paraId="23A32F35">
      <w:pPr>
        <w:spacing w:before="320" w:after="120" w:line="288" w:lineRule="auto"/>
        <w:ind w:left="0"/>
        <w:jc w:val="left"/>
        <w:outlineLvl w:val="1"/>
      </w:pPr>
      <w:bookmarkStart w:id="6" w:name="heading_6"/>
      <w:bookmarkEnd w:id="6"/>
    </w:p>
    <w:p w14:paraId="461F43AE">
      <w:pPr>
        <w:spacing w:before="320" w:after="120" w:line="288" w:lineRule="auto"/>
        <w:ind w:left="0"/>
        <w:jc w:val="left"/>
        <w:outlineLvl w:val="1"/>
      </w:pPr>
      <w:bookmarkStart w:id="7" w:name="heading_7"/>
      <w:bookmarkEnd w:id="7"/>
    </w:p>
    <w:sectPr>
      <w:headerReference r:id="rId3" w:type="default"/>
      <w:footerReference r:id="rId4" w:type="default"/>
      <w:pgSz w:w="11905" w:h="16840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F664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F70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">
    <w:nsid w:val="0248C179"/>
    <w:multiLevelType w:val="singleLevel"/>
    <w:tmpl w:val="0248C17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5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6">
    <w:nsid w:val="25B654F3"/>
    <w:multiLevelType w:val="singleLevel"/>
    <w:tmpl w:val="25B654F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">
    <w:nsid w:val="6AB53C2C"/>
    <w:multiLevelType w:val="singleLevel"/>
    <w:tmpl w:val="6AB53C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2183CF9"/>
    <w:multiLevelType w:val="singleLevel"/>
    <w:tmpl w:val="72183C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0">
    <w:nsid w:val="745EEAEC"/>
    <w:multiLevelType w:val="singleLevel"/>
    <w:tmpl w:val="745EEAE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doNotDisplayPageBoundaries w:val="1"/>
  <w:documentProtection w:enforcement="0"/>
  <w:defaultTabStop w:val="420"/>
  <w:compat>
    <w:useFELayout/>
    <w:splitPgBreakAndParaMark/>
    <w:compatSetting w:name="compatibilityMode" w:uri="http://schemas.microsoft.com/office/word" w:val="12"/>
  </w:compat>
  <w:rsids>
    <w:rsidRoot w:val="00000000"/>
    <w:rsid w:val="2F4670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1280</Words>
  <Characters>1298</Characters>
  <Lines>0</Lines>
  <Paragraphs>0</Paragraphs>
  <TotalTime>11</TotalTime>
  <ScaleCrop>false</ScaleCrop>
  <LinksUpToDate>false</LinksUpToDate>
  <CharactersWithSpaces>1338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2026-08-01T12:38:00Z</dcterms:created>
  <dc:creator>Apache POI</dc:creator>
  <cp:lastModifiedBy>DTWL-JHX-OFFICEE02</cp:lastModifiedBy>
  <dcterms:modified xsi:type="dcterms:W3CDTF">2026-08-04T02:17:34Z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{"Label":"1","ContentProducer":"001191110102MACQD9K64010000","ProduceID":"7669041606876433700","ReservedCode1":"","ContentPropagator":"","PropagateID":"","ReservedCode2":""}</vt:lpwstr>
  </property>
  <property fmtid="{D5CDD505-2E9C-101B-9397-08002B2CF9AE}" pid="3" name="KSOTemplateDocerSaveRecord">
    <vt:lpwstr>eyJoZGlkIjoiNjYzODNjMGI2OGMwMmM2YzkyODdiNmY1OTY5ZGEzZmEifQ==</vt:lpwstr>
  </property>
  <property fmtid="{D5CDD505-2E9C-101B-9397-08002B2CF9AE}" pid="4" name="KSOProductBuildVer">
    <vt:lpwstr>2052-12.1.0.28043</vt:lpwstr>
  </property>
  <property fmtid="{D5CDD505-2E9C-101B-9397-08002B2CF9AE}" pid="5" name="ICV">
    <vt:lpwstr>955D9F0FCB66460E872779C6857F9DE0_12</vt:lpwstr>
  </property>
</Properties>
</file>