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13653">
      <w:pPr>
        <w:jc w:val="center"/>
        <w:rPr>
          <w:rFonts w:ascii="宋体" w:cs="宋体"/>
          <w:b/>
          <w:bCs/>
          <w:sz w:val="44"/>
          <w:szCs w:val="44"/>
        </w:rPr>
      </w:pPr>
      <w:r>
        <w:rPr>
          <w:rFonts w:ascii="宋体" w:hAnsi="宋体" w:cs="宋体"/>
          <w:b/>
          <w:bCs/>
          <w:sz w:val="44"/>
          <w:szCs w:val="44"/>
        </w:rPr>
        <w:t xml:space="preserve">  </w:t>
      </w:r>
      <w:r>
        <w:rPr>
          <w:rFonts w:hint="eastAsia" w:ascii="宋体" w:hAnsi="宋体" w:cs="宋体"/>
          <w:b/>
          <w:bCs/>
          <w:sz w:val="44"/>
          <w:szCs w:val="44"/>
          <w:lang w:val="en-US" w:eastAsia="zh-CN"/>
        </w:rPr>
        <w:t>项目</w:t>
      </w:r>
      <w:r>
        <w:rPr>
          <w:rFonts w:hint="eastAsia" w:ascii="宋体" w:hAnsi="宋体" w:cs="宋体"/>
          <w:b/>
          <w:bCs/>
          <w:sz w:val="44"/>
          <w:szCs w:val="44"/>
        </w:rPr>
        <w:t>发展报告</w:t>
      </w:r>
    </w:p>
    <w:p w14:paraId="24526553">
      <w:pPr>
        <w:numPr>
          <w:ilvl w:val="0"/>
          <w:numId w:val="1"/>
        </w:numPr>
        <w:jc w:val="center"/>
        <w:rPr>
          <w:rFonts w:ascii="宋体" w:cs="宋体"/>
          <w:b/>
          <w:bCs/>
          <w:sz w:val="32"/>
          <w:szCs w:val="32"/>
        </w:rPr>
      </w:pPr>
      <w:r>
        <w:rPr>
          <w:rFonts w:hint="eastAsia" w:ascii="宋体" w:hAnsi="宋体" w:cs="宋体"/>
          <w:b/>
          <w:bCs/>
          <w:sz w:val="32"/>
          <w:szCs w:val="32"/>
        </w:rPr>
        <w:t>背景</w:t>
      </w:r>
    </w:p>
    <w:p w14:paraId="654E187E">
      <w:pPr>
        <w:numPr>
          <w:ilvl w:val="0"/>
          <w:numId w:val="2"/>
        </w:numPr>
        <w:rPr>
          <w:rFonts w:ascii="宋体" w:cs="宋体"/>
          <w:sz w:val="24"/>
        </w:rPr>
      </w:pPr>
      <w:r>
        <w:rPr>
          <w:rFonts w:hint="eastAsia" w:ascii="宋体" w:hAnsi="宋体" w:cs="宋体"/>
          <w:sz w:val="24"/>
        </w:rPr>
        <w:t>《河北省建设全国现代商贸物流重要基地“十四五”规划》指出：建设全国现代商贸物流重要基地，是党中央国务院赋予河北的重大历史使命，是深入实施京津冀协同发展战略的重要抓手。高质量推进全国现代商贸物流重要基地的建设，对支持构建新发展格局和建设新时代现代化经济强省、美丽河北具有十分重要的意义。</w:t>
      </w:r>
    </w:p>
    <w:p w14:paraId="7DF8A30E">
      <w:pPr>
        <w:ind w:firstLine="480" w:firstLineChars="200"/>
        <w:rPr>
          <w:rFonts w:ascii="宋体" w:cs="宋体"/>
          <w:sz w:val="24"/>
        </w:rPr>
      </w:pPr>
      <w:r>
        <w:rPr>
          <w:rFonts w:hint="eastAsia" w:ascii="宋体" w:hAnsi="宋体" w:cs="宋体"/>
          <w:sz w:val="24"/>
        </w:rPr>
        <w:t>文件要求：做强综合物流枢纽。推动唐山港口型（生产服务型）国家物流枢纽建设，完善大宗集疏、多式联运、干支配、期货交割、保税清关、商贸交易、金融服务等综合服务功能，打造环渤海乃至东北亚区域重要经济支点。提升河北钢铁交易中心等平台综合服务功能，推动大宗商品交易平台与陆海联动集疏运网络、金融和信息支撑系统深度对接，形成线上线下协同运作的运作模式，提升大宗商品配置效率。聚焦市场需求变化，着力推进业态创新，深度挖掘智慧物流、绿色物流、供应链物流和口岸物流发展潜力，不断增强产业发展内生动力。</w:t>
      </w:r>
    </w:p>
    <w:p w14:paraId="408F34EA">
      <w:pPr>
        <w:ind w:firstLine="480" w:firstLineChars="200"/>
        <w:rPr>
          <w:rFonts w:ascii="宋体" w:cs="宋体"/>
          <w:sz w:val="24"/>
        </w:rPr>
      </w:pPr>
      <w:r>
        <w:rPr>
          <w:rFonts w:hint="eastAsia" w:ascii="宋体" w:hAnsi="宋体" w:cs="宋体"/>
          <w:sz w:val="24"/>
        </w:rPr>
        <w:t>文件鼓励有条件的市、县依法合规使用政府债券支持符合条件的商贸物流项目。积极搭建银企合作平台，大力发展物流普惠金融，引导金融机构开发支持物流发展的金融产品和融资服务方案。鼓励私营企业、民营资本参与物流基础设施建设，支持符合条件的骨干物流企业通过发行公司债券、企业债券和上市等多种方式筹集建设资金。支持组建物流产业投资基金，探索开展物流基础设施建设领域不动产信托基金（</w:t>
      </w:r>
      <w:r>
        <w:rPr>
          <w:rFonts w:ascii="宋体" w:hAnsi="宋体" w:cs="宋体"/>
          <w:sz w:val="24"/>
        </w:rPr>
        <w:t>REITs</w:t>
      </w:r>
      <w:r>
        <w:rPr>
          <w:rFonts w:hint="eastAsia" w:ascii="宋体" w:hAnsi="宋体" w:cs="宋体"/>
          <w:sz w:val="24"/>
        </w:rPr>
        <w:t>）试点。</w:t>
      </w:r>
    </w:p>
    <w:p w14:paraId="4D441BDC">
      <w:pPr>
        <w:ind w:firstLine="480" w:firstLineChars="200"/>
        <w:rPr>
          <w:rFonts w:ascii="宋体" w:cs="宋体"/>
          <w:sz w:val="24"/>
        </w:rPr>
      </w:pPr>
      <w:r>
        <w:rPr>
          <w:rFonts w:ascii="宋体" w:cs="宋体"/>
          <w:sz w:val="24"/>
        </w:rPr>
        <w:pict>
          <v:shape id="_x0000_i1025" o:spt="75" alt="图片1" type="#_x0000_t75" style="height:239.25pt;width:415.5pt;" filled="f" o:preferrelative="t" stroked="f" coordsize="21600,21600">
            <v:path/>
            <v:fill on="f" focussize="0,0"/>
            <v:stroke on="f" joinstyle="miter"/>
            <v:imagedata r:id="rId4" o:title=""/>
            <o:lock v:ext="edit" aspectratio="t"/>
            <w10:wrap type="none"/>
            <w10:anchorlock/>
          </v:shape>
        </w:pict>
      </w:r>
    </w:p>
    <w:p w14:paraId="45D8E01A">
      <w:pPr>
        <w:numPr>
          <w:ilvl w:val="0"/>
          <w:numId w:val="2"/>
        </w:numPr>
        <w:rPr>
          <w:rFonts w:ascii="宋体" w:cs="宋体"/>
          <w:sz w:val="24"/>
        </w:rPr>
      </w:pPr>
      <w:r>
        <w:rPr>
          <w:rFonts w:hint="eastAsia" w:ascii="宋体" w:hAnsi="宋体" w:cs="宋体"/>
          <w:sz w:val="24"/>
        </w:rPr>
        <w:t>《中共中央国务院关于加快建设全国统一大市场的意见》文件指出：</w:t>
      </w:r>
    </w:p>
    <w:p w14:paraId="59491842">
      <w:pPr>
        <w:numPr>
          <w:ilvl w:val="0"/>
          <w:numId w:val="3"/>
        </w:numPr>
        <w:rPr>
          <w:rFonts w:ascii="宋体" w:cs="宋体"/>
          <w:sz w:val="24"/>
        </w:rPr>
      </w:pPr>
      <w:r>
        <w:rPr>
          <w:rFonts w:hint="eastAsia" w:ascii="宋体" w:hAnsi="宋体" w:cs="宋体"/>
          <w:sz w:val="24"/>
        </w:rPr>
        <w:t>推进市场高标准，联通建设现代物流网络，优化商贸流通基础设施布局，加快数字化建设，推动线上线下融合发展，形成更多商贸流通新平台、新业态、新模式。推动国家物流枢纽网络建设，大力发展多式联运，</w:t>
      </w:r>
      <w:r>
        <w:rPr>
          <w:rFonts w:hint="eastAsia" w:ascii="宋体" w:hAnsi="宋体" w:cs="宋体"/>
          <w:sz w:val="24"/>
          <w:shd w:val="clear" w:color="auto" w:fill="FFFFFF"/>
        </w:rPr>
        <w:t>推广标准化托盘带板运输模式。大力发展第三方物流，支持数字化第三方物流交付平台建设，推动第三方物流产业科技和商业模式创新，培育一批有全球影响力的数字化平台企业和供应链企业，促进全社会物流降本增效。</w:t>
      </w:r>
    </w:p>
    <w:p w14:paraId="62ED7872">
      <w:pPr>
        <w:numPr>
          <w:ilvl w:val="0"/>
          <w:numId w:val="3"/>
        </w:numPr>
        <w:rPr>
          <w:rFonts w:ascii="宋体" w:cs="宋体"/>
          <w:sz w:val="24"/>
        </w:rPr>
      </w:pPr>
      <w:r>
        <w:rPr>
          <w:rFonts w:hint="eastAsia" w:ascii="宋体" w:hAnsi="宋体" w:cs="宋体"/>
          <w:sz w:val="24"/>
          <w:shd w:val="clear" w:color="auto" w:fill="FFFFFF"/>
        </w:rPr>
        <w:t>加快推进大宗商品期现货市场建设，不断完善交易规则。鼓励交易平台与金融机构、中介机构合作，依法发展涵盖产权界定、价格评估、担保、保险等业务的综合服务体系。</w:t>
      </w:r>
    </w:p>
    <w:p w14:paraId="2524D360">
      <w:pPr>
        <w:numPr>
          <w:ilvl w:val="0"/>
          <w:numId w:val="3"/>
        </w:numPr>
        <w:rPr>
          <w:rFonts w:ascii="宋体" w:cs="宋体"/>
          <w:sz w:val="24"/>
        </w:rPr>
      </w:pPr>
      <w:r>
        <w:rPr>
          <w:rFonts w:hint="eastAsia" w:ascii="宋体" w:hAnsi="宋体" w:cs="宋体"/>
          <w:sz w:val="24"/>
          <w:shd w:val="clear" w:color="auto" w:fill="FFFFFF"/>
        </w:rPr>
        <w:t>选择运行安全规范、风险管理能力较强的区域性股权市场，开展制度和业务创新试点，加强区域性股权市场和全国性证券市场板块间的合作衔接。推动债券市场基础设施互联互通，实现债券市场要素自由流动。发展供应链金融，提供直达各流通环节经营主体的金融产品。</w:t>
      </w:r>
    </w:p>
    <w:p w14:paraId="492E23AE">
      <w:pPr>
        <w:ind w:firstLine="480" w:firstLineChars="200"/>
        <w:rPr>
          <w:rFonts w:ascii="宋体" w:cs="宋体"/>
          <w:sz w:val="24"/>
          <w:shd w:val="clear" w:color="auto" w:fill="FFFFFF"/>
        </w:rPr>
      </w:pPr>
      <w:r>
        <w:rPr>
          <w:rFonts w:hint="eastAsia" w:ascii="宋体" w:hAnsi="宋体" w:cs="宋体"/>
          <w:sz w:val="24"/>
          <w:shd w:val="clear" w:color="auto" w:fill="FFFFFF"/>
        </w:rPr>
        <w:t>文件指出：优先推进区域协作。结合区域重大战略、区域协调发展战略实施，鼓励京津冀、长三角、粤港澳大湾区以及成渝地区双城经济圈、长江中游城市群等区域，在维护全国统一大市场前提下，优先开展区域市场一体化建设工作，建立健全区域合作机制，积极总结并复制推广典型经验和做法。</w:t>
      </w:r>
    </w:p>
    <w:p w14:paraId="5CA091A1">
      <w:pPr>
        <w:numPr>
          <w:ilvl w:val="0"/>
          <w:numId w:val="1"/>
        </w:numPr>
        <w:jc w:val="center"/>
        <w:rPr>
          <w:rFonts w:ascii="宋体" w:cs="宋体"/>
          <w:b/>
          <w:bCs/>
          <w:sz w:val="32"/>
          <w:szCs w:val="32"/>
          <w:shd w:val="clear" w:color="auto" w:fill="FFFFFF"/>
        </w:rPr>
      </w:pPr>
      <w:r>
        <w:rPr>
          <w:rFonts w:hint="eastAsia" w:ascii="宋体" w:hAnsi="宋体" w:cs="宋体"/>
          <w:b/>
          <w:bCs/>
          <w:sz w:val="32"/>
          <w:szCs w:val="32"/>
          <w:shd w:val="clear" w:color="auto" w:fill="FFFFFF"/>
        </w:rPr>
        <w:t>项目介绍</w:t>
      </w:r>
    </w:p>
    <w:p w14:paraId="38114AAB">
      <w:pPr>
        <w:ind w:firstLine="480" w:firstLineChars="200"/>
        <w:rPr>
          <w:rFonts w:ascii="宋体" w:cs="宋体"/>
          <w:sz w:val="24"/>
          <w:shd w:val="clear" w:color="auto" w:fill="FFFFFF"/>
        </w:rPr>
      </w:pPr>
      <w:r>
        <w:rPr>
          <w:rFonts w:hint="eastAsia" w:ascii="宋体" w:hAnsi="宋体" w:cs="宋体"/>
          <w:sz w:val="24"/>
          <w:shd w:val="clear" w:color="auto" w:fill="FFFFFF"/>
        </w:rPr>
        <w:t>唐山东方世纪物流位于唐山市曹妃甸区装备制造园区，迁曹公路以东，庙南路以北，占地</w:t>
      </w:r>
      <w:r>
        <w:rPr>
          <w:rFonts w:ascii="宋体" w:hAnsi="宋体" w:cs="宋体"/>
          <w:sz w:val="24"/>
          <w:shd w:val="clear" w:color="auto" w:fill="FFFFFF"/>
        </w:rPr>
        <w:t>266,666</w:t>
      </w:r>
      <w:r>
        <w:rPr>
          <w:rFonts w:hint="eastAsia" w:ascii="宋体" w:hAnsi="宋体" w:cs="宋体"/>
          <w:sz w:val="24"/>
          <w:shd w:val="clear" w:color="auto" w:fill="FFFFFF"/>
        </w:rPr>
        <w:t>平方米（</w:t>
      </w:r>
      <w:r>
        <w:rPr>
          <w:rFonts w:ascii="宋体" w:hAnsi="宋体" w:cs="宋体"/>
          <w:sz w:val="24"/>
          <w:shd w:val="clear" w:color="auto" w:fill="FFFFFF"/>
        </w:rPr>
        <w:t>400</w:t>
      </w:r>
      <w:r>
        <w:rPr>
          <w:rFonts w:hint="eastAsia" w:ascii="宋体" w:hAnsi="宋体" w:cs="宋体"/>
          <w:sz w:val="24"/>
          <w:shd w:val="clear" w:color="auto" w:fill="FFFFFF"/>
        </w:rPr>
        <w:t>亩），原设计总建筑面积</w:t>
      </w:r>
      <w:r>
        <w:rPr>
          <w:rFonts w:ascii="宋体" w:hAnsi="宋体" w:cs="宋体"/>
          <w:sz w:val="24"/>
          <w:shd w:val="clear" w:color="auto" w:fill="FFFFFF"/>
        </w:rPr>
        <w:t>267,651.56</w:t>
      </w:r>
      <w:r>
        <w:rPr>
          <w:rFonts w:hint="eastAsia" w:ascii="宋体" w:hAnsi="宋体" w:cs="宋体"/>
          <w:sz w:val="24"/>
          <w:shd w:val="clear" w:color="auto" w:fill="FFFFFF"/>
        </w:rPr>
        <w:t>平方米。项目地理位置优越，交通便利，紧邻迁曹高速，唐曹高速，距离曹妃甸港口</w:t>
      </w:r>
      <w:r>
        <w:rPr>
          <w:rFonts w:ascii="宋体" w:hAnsi="宋体" w:cs="宋体"/>
          <w:sz w:val="24"/>
          <w:shd w:val="clear" w:color="auto" w:fill="FFFFFF"/>
        </w:rPr>
        <w:t>20</w:t>
      </w:r>
      <w:r>
        <w:rPr>
          <w:rFonts w:hint="eastAsia" w:ascii="宋体" w:hAnsi="宋体" w:cs="宋体"/>
          <w:sz w:val="24"/>
          <w:shd w:val="clear" w:color="auto" w:fill="FFFFFF"/>
        </w:rPr>
        <w:t>公里，曹妃甸火车站</w:t>
      </w:r>
      <w:r>
        <w:rPr>
          <w:rFonts w:ascii="宋体" w:hAnsi="宋体" w:cs="宋体"/>
          <w:sz w:val="24"/>
          <w:shd w:val="clear" w:color="auto" w:fill="FFFFFF"/>
        </w:rPr>
        <w:t>15</w:t>
      </w:r>
      <w:r>
        <w:rPr>
          <w:rFonts w:hint="eastAsia" w:ascii="宋体" w:hAnsi="宋体" w:cs="宋体"/>
          <w:sz w:val="24"/>
          <w:shd w:val="clear" w:color="auto" w:fill="FFFFFF"/>
        </w:rPr>
        <w:t>公里。</w:t>
      </w:r>
    </w:p>
    <w:p w14:paraId="76F353C4">
      <w:pPr>
        <w:ind w:firstLine="480" w:firstLineChars="200"/>
        <w:rPr>
          <w:rFonts w:ascii="宋体" w:cs="宋体"/>
          <w:sz w:val="24"/>
          <w:shd w:val="clear" w:color="auto" w:fill="FFFFFF"/>
        </w:rPr>
      </w:pPr>
      <w:r>
        <w:rPr>
          <w:rFonts w:hint="eastAsia" w:ascii="宋体" w:hAnsi="宋体" w:cs="宋体"/>
          <w:sz w:val="24"/>
          <w:shd w:val="clear" w:color="auto" w:fill="FFFFFF"/>
        </w:rPr>
        <w:t>周边企业：唐银钢铁（年产铁</w:t>
      </w:r>
      <w:r>
        <w:rPr>
          <w:rFonts w:ascii="宋体" w:hAnsi="宋体" w:cs="宋体"/>
          <w:sz w:val="24"/>
          <w:shd w:val="clear" w:color="auto" w:fill="FFFFFF"/>
        </w:rPr>
        <w:t>252</w:t>
      </w:r>
      <w:r>
        <w:rPr>
          <w:rFonts w:hint="eastAsia" w:ascii="宋体" w:hAnsi="宋体" w:cs="宋体"/>
          <w:sz w:val="24"/>
          <w:shd w:val="clear" w:color="auto" w:fill="FFFFFF"/>
        </w:rPr>
        <w:t>万吨，钢</w:t>
      </w:r>
      <w:r>
        <w:rPr>
          <w:rFonts w:ascii="宋体" w:hAnsi="宋体" w:cs="宋体"/>
          <w:sz w:val="24"/>
          <w:shd w:val="clear" w:color="auto" w:fill="FFFFFF"/>
        </w:rPr>
        <w:t>200</w:t>
      </w:r>
      <w:r>
        <w:rPr>
          <w:rFonts w:hint="eastAsia" w:ascii="宋体" w:hAnsi="宋体" w:cs="宋体"/>
          <w:sz w:val="24"/>
          <w:shd w:val="clear" w:color="auto" w:fill="FFFFFF"/>
        </w:rPr>
        <w:t>万吨，钢材</w:t>
      </w:r>
      <w:r>
        <w:rPr>
          <w:rFonts w:ascii="宋体" w:hAnsi="宋体" w:cs="宋体"/>
          <w:sz w:val="24"/>
          <w:shd w:val="clear" w:color="auto" w:fill="FFFFFF"/>
        </w:rPr>
        <w:t>260</w:t>
      </w:r>
      <w:r>
        <w:rPr>
          <w:rFonts w:hint="eastAsia" w:ascii="宋体" w:hAnsi="宋体" w:cs="宋体"/>
          <w:sz w:val="24"/>
          <w:shd w:val="clear" w:color="auto" w:fill="FFFFFF"/>
        </w:rPr>
        <w:t>万吨）、文丰特钢（年产铁</w:t>
      </w:r>
      <w:r>
        <w:rPr>
          <w:rFonts w:ascii="宋体" w:hAnsi="宋体" w:cs="宋体"/>
          <w:sz w:val="24"/>
          <w:shd w:val="clear" w:color="auto" w:fill="FFFFFF"/>
        </w:rPr>
        <w:t>200</w:t>
      </w:r>
      <w:r>
        <w:rPr>
          <w:rFonts w:hint="eastAsia" w:ascii="宋体" w:hAnsi="宋体" w:cs="宋体"/>
          <w:sz w:val="24"/>
          <w:shd w:val="clear" w:color="auto" w:fill="FFFFFF"/>
        </w:rPr>
        <w:t>万吨，钢</w:t>
      </w:r>
      <w:r>
        <w:rPr>
          <w:rFonts w:ascii="宋体" w:hAnsi="宋体" w:cs="宋体"/>
          <w:sz w:val="24"/>
          <w:shd w:val="clear" w:color="auto" w:fill="FFFFFF"/>
        </w:rPr>
        <w:t>200</w:t>
      </w:r>
      <w:r>
        <w:rPr>
          <w:rFonts w:hint="eastAsia" w:ascii="宋体" w:hAnsi="宋体" w:cs="宋体"/>
          <w:sz w:val="24"/>
          <w:shd w:val="clear" w:color="auto" w:fill="FFFFFF"/>
        </w:rPr>
        <w:t>万吨，钢材</w:t>
      </w:r>
      <w:r>
        <w:rPr>
          <w:rFonts w:ascii="宋体" w:hAnsi="宋体" w:cs="宋体"/>
          <w:sz w:val="24"/>
          <w:shd w:val="clear" w:color="auto" w:fill="FFFFFF"/>
        </w:rPr>
        <w:t>100</w:t>
      </w:r>
      <w:r>
        <w:rPr>
          <w:rFonts w:hint="eastAsia" w:ascii="宋体" w:hAnsi="宋体" w:cs="宋体"/>
          <w:sz w:val="24"/>
          <w:shd w:val="clear" w:color="auto" w:fill="FFFFFF"/>
        </w:rPr>
        <w:t>万吨）、埔铭矿业、金隅岩棉、科梦风电、文丰氢氧化铝等企业。</w:t>
      </w:r>
    </w:p>
    <w:p w14:paraId="4E917B7E">
      <w:pPr>
        <w:rPr>
          <w:rFonts w:ascii="宋体" w:cs="宋体"/>
          <w:b/>
          <w:bCs/>
          <w:sz w:val="24"/>
          <w:shd w:val="clear" w:color="auto" w:fill="FFFFFF"/>
        </w:rPr>
      </w:pPr>
      <w:r>
        <w:rPr>
          <w:rFonts w:hint="eastAsia" w:ascii="宋体" w:hAnsi="宋体" w:cs="宋体"/>
          <w:b/>
          <w:bCs/>
          <w:sz w:val="24"/>
          <w:shd w:val="clear" w:color="auto" w:fill="FFFFFF"/>
        </w:rPr>
        <w:t>定位</w:t>
      </w:r>
    </w:p>
    <w:p w14:paraId="36674AE6">
      <w:pPr>
        <w:ind w:firstLine="480" w:firstLineChars="200"/>
        <w:rPr>
          <w:rFonts w:ascii="宋体" w:cs="宋体"/>
          <w:sz w:val="24"/>
          <w:shd w:val="clear" w:color="auto" w:fill="FFFFFF"/>
        </w:rPr>
      </w:pPr>
      <w:r>
        <w:rPr>
          <w:rFonts w:hint="eastAsia" w:ascii="宋体" w:hAnsi="宋体" w:cs="宋体"/>
          <w:sz w:val="24"/>
          <w:shd w:val="clear" w:color="auto" w:fill="FFFFFF"/>
        </w:rPr>
        <w:t>钢铁智慧物流园区。项目依托于上游钢铁企业的蓬勃发展、政策的强力扶持，改变传统料场式的物流园区形式，发展</w:t>
      </w:r>
      <w:r>
        <w:rPr>
          <w:rFonts w:hint="eastAsia" w:ascii="宋体" w:hAnsi="宋体" w:cs="宋体"/>
          <w:b/>
          <w:bCs/>
          <w:color w:val="FF0000"/>
          <w:sz w:val="30"/>
          <w:szCs w:val="30"/>
          <w:shd w:val="clear" w:color="auto" w:fill="FFFFFF"/>
        </w:rPr>
        <w:t>仓储加工</w:t>
      </w:r>
      <w:r>
        <w:rPr>
          <w:rFonts w:ascii="宋体" w:hAnsi="宋体" w:cs="宋体"/>
          <w:b/>
          <w:bCs/>
          <w:color w:val="FF0000"/>
          <w:sz w:val="30"/>
          <w:szCs w:val="30"/>
          <w:shd w:val="clear" w:color="auto" w:fill="FFFFFF"/>
        </w:rPr>
        <w:t>+</w:t>
      </w:r>
      <w:r>
        <w:rPr>
          <w:rFonts w:hint="eastAsia" w:ascii="宋体" w:hAnsi="宋体" w:cs="宋体"/>
          <w:b/>
          <w:bCs/>
          <w:color w:val="FF0000"/>
          <w:sz w:val="30"/>
          <w:szCs w:val="30"/>
          <w:shd w:val="clear" w:color="auto" w:fill="FFFFFF"/>
        </w:rPr>
        <w:t>电子商务</w:t>
      </w:r>
      <w:r>
        <w:rPr>
          <w:rFonts w:ascii="宋体" w:hAnsi="宋体" w:cs="宋体"/>
          <w:b/>
          <w:bCs/>
          <w:color w:val="FF0000"/>
          <w:sz w:val="30"/>
          <w:szCs w:val="30"/>
          <w:shd w:val="clear" w:color="auto" w:fill="FFFFFF"/>
        </w:rPr>
        <w:t>+</w:t>
      </w:r>
      <w:r>
        <w:rPr>
          <w:rFonts w:hint="eastAsia" w:ascii="宋体" w:hAnsi="宋体" w:cs="宋体"/>
          <w:b/>
          <w:bCs/>
          <w:color w:val="FF0000"/>
          <w:sz w:val="30"/>
          <w:szCs w:val="30"/>
          <w:shd w:val="clear" w:color="auto" w:fill="FFFFFF"/>
        </w:rPr>
        <w:t>智慧物流</w:t>
      </w:r>
      <w:r>
        <w:rPr>
          <w:rFonts w:ascii="宋体" w:hAnsi="宋体" w:cs="宋体"/>
          <w:b/>
          <w:bCs/>
          <w:color w:val="FF0000"/>
          <w:sz w:val="30"/>
          <w:szCs w:val="30"/>
          <w:shd w:val="clear" w:color="auto" w:fill="FFFFFF"/>
        </w:rPr>
        <w:t>+</w:t>
      </w:r>
      <w:r>
        <w:rPr>
          <w:rFonts w:hint="eastAsia" w:ascii="宋体" w:hAnsi="宋体" w:cs="宋体"/>
          <w:b/>
          <w:bCs/>
          <w:color w:val="FF0000"/>
          <w:sz w:val="30"/>
          <w:szCs w:val="30"/>
          <w:shd w:val="clear" w:color="auto" w:fill="FFFFFF"/>
        </w:rPr>
        <w:t>金融区块链</w:t>
      </w:r>
      <w:r>
        <w:rPr>
          <w:rFonts w:ascii="宋体" w:hAnsi="宋体" w:cs="宋体"/>
          <w:b/>
          <w:bCs/>
          <w:color w:val="FF0000"/>
          <w:sz w:val="30"/>
          <w:szCs w:val="30"/>
          <w:shd w:val="clear" w:color="auto" w:fill="FFFFFF"/>
        </w:rPr>
        <w:t>+</w:t>
      </w:r>
      <w:r>
        <w:rPr>
          <w:rFonts w:hint="eastAsia" w:ascii="宋体" w:hAnsi="宋体" w:cs="宋体"/>
          <w:b/>
          <w:bCs/>
          <w:color w:val="FF0000"/>
          <w:sz w:val="30"/>
          <w:szCs w:val="30"/>
          <w:shd w:val="clear" w:color="auto" w:fill="FFFFFF"/>
        </w:rPr>
        <w:t>绿色低碳</w:t>
      </w:r>
      <w:r>
        <w:rPr>
          <w:rFonts w:hint="eastAsia" w:ascii="宋体" w:hAnsi="宋体" w:cs="宋体"/>
          <w:sz w:val="24"/>
          <w:shd w:val="clear" w:color="auto" w:fill="FFFFFF"/>
        </w:rPr>
        <w:t>五大功能。</w:t>
      </w:r>
    </w:p>
    <w:p w14:paraId="576ABFBD">
      <w:pPr>
        <w:ind w:firstLine="480" w:firstLineChars="200"/>
        <w:rPr>
          <w:rFonts w:ascii="宋体" w:cs="宋体"/>
          <w:sz w:val="24"/>
          <w:shd w:val="clear" w:color="auto" w:fill="FFFFFF"/>
        </w:rPr>
      </w:pPr>
      <w:r>
        <w:rPr>
          <w:rFonts w:ascii="宋体" w:cs="宋体"/>
          <w:sz w:val="24"/>
          <w:shd w:val="clear" w:color="auto" w:fill="FFFFFF"/>
        </w:rPr>
        <w:pict>
          <v:shape id="_x0000_i1026" o:spt="75" type="#_x0000_t75" style="height:231pt;width:438.75pt;" filled="f" o:preferrelative="t" stroked="f" coordsize="21600,21600">
            <v:path/>
            <v:fill on="f" focussize="0,0"/>
            <v:stroke on="f" joinstyle="miter"/>
            <v:imagedata r:id="rId5" o:title=""/>
            <o:lock v:ext="edit" aspectratio="t"/>
            <w10:wrap type="none"/>
            <w10:anchorlock/>
          </v:shape>
        </w:pict>
      </w:r>
    </w:p>
    <w:p w14:paraId="6A227AA8">
      <w:pPr>
        <w:ind w:firstLine="480" w:firstLineChars="200"/>
        <w:rPr>
          <w:rFonts w:ascii="宋体" w:cs="宋体"/>
          <w:sz w:val="24"/>
          <w:shd w:val="clear" w:color="auto" w:fill="FFFFFF"/>
        </w:rPr>
      </w:pPr>
    </w:p>
    <w:p w14:paraId="536F82ED">
      <w:pPr>
        <w:numPr>
          <w:ilvl w:val="0"/>
          <w:numId w:val="1"/>
        </w:numPr>
        <w:jc w:val="center"/>
        <w:rPr>
          <w:rFonts w:ascii="宋体" w:cs="宋体"/>
          <w:b/>
          <w:bCs/>
          <w:sz w:val="32"/>
          <w:szCs w:val="32"/>
          <w:shd w:val="clear" w:color="auto" w:fill="FFFFFF"/>
        </w:rPr>
      </w:pPr>
      <w:r>
        <w:rPr>
          <w:rFonts w:hint="eastAsia" w:ascii="宋体" w:hAnsi="宋体" w:cs="宋体"/>
          <w:b/>
          <w:bCs/>
          <w:sz w:val="32"/>
          <w:szCs w:val="32"/>
          <w:shd w:val="clear" w:color="auto" w:fill="FFFFFF"/>
        </w:rPr>
        <w:t>运营</w:t>
      </w:r>
    </w:p>
    <w:p w14:paraId="4F0CE3A0">
      <w:pPr>
        <w:ind w:firstLine="480" w:firstLineChars="200"/>
        <w:rPr>
          <w:rFonts w:ascii="宋体" w:cs="宋体"/>
          <w:sz w:val="24"/>
          <w:shd w:val="clear" w:color="auto" w:fill="FFFFFF"/>
        </w:rPr>
      </w:pPr>
      <w:r>
        <w:rPr>
          <w:rFonts w:hint="eastAsia" w:ascii="宋体" w:hAnsi="宋体" w:cs="宋体"/>
          <w:sz w:val="24"/>
          <w:shd w:val="clear" w:color="auto" w:fill="FFFFFF"/>
        </w:rPr>
        <w:t>东方世纪物流项目分三个阶段完善五大功能。</w:t>
      </w:r>
    </w:p>
    <w:p w14:paraId="6D8CADB8">
      <w:pPr>
        <w:rPr>
          <w:rFonts w:ascii="宋体" w:cs="宋体"/>
          <w:sz w:val="24"/>
          <w:shd w:val="clear" w:color="auto" w:fill="FFFFFF"/>
        </w:rPr>
      </w:pPr>
      <w:r>
        <w:rPr>
          <w:rFonts w:hint="eastAsia" w:ascii="宋体" w:hAnsi="宋体" w:cs="宋体"/>
          <w:sz w:val="24"/>
          <w:shd w:val="clear" w:color="auto" w:fill="FFFFFF"/>
        </w:rPr>
        <w:t>（一）起步期</w:t>
      </w:r>
    </w:p>
    <w:p w14:paraId="2368CF6D">
      <w:pPr>
        <w:numPr>
          <w:ilvl w:val="0"/>
          <w:numId w:val="4"/>
        </w:numPr>
        <w:rPr>
          <w:rFonts w:ascii="宋体" w:cs="宋体"/>
          <w:sz w:val="24"/>
          <w:shd w:val="clear" w:color="auto" w:fill="FFFFFF"/>
        </w:rPr>
      </w:pPr>
      <w:r>
        <w:rPr>
          <w:rFonts w:hint="eastAsia" w:ascii="宋体" w:hAnsi="宋体" w:cs="宋体"/>
          <w:sz w:val="24"/>
          <w:shd w:val="clear" w:color="auto" w:fill="FFFFFF"/>
        </w:rPr>
        <w:t>围绕钢铁产成品提供仓储、转运、采购、流通加工、信息服务、集成配送全过程服务；</w:t>
      </w:r>
    </w:p>
    <w:p w14:paraId="0960483A">
      <w:pPr>
        <w:numPr>
          <w:ilvl w:val="0"/>
          <w:numId w:val="4"/>
        </w:numPr>
        <w:rPr>
          <w:rFonts w:ascii="宋体" w:cs="宋体"/>
          <w:sz w:val="24"/>
          <w:shd w:val="clear" w:color="auto" w:fill="FFFFFF"/>
        </w:rPr>
      </w:pPr>
      <w:r>
        <w:rPr>
          <w:rFonts w:hint="eastAsia" w:ascii="宋体" w:hAnsi="宋体" w:cs="宋体"/>
          <w:sz w:val="24"/>
          <w:shd w:val="clear" w:color="auto" w:fill="FFFFFF"/>
        </w:rPr>
        <w:t>搭建电子商务平台，借力全国统一大市场政策利好，促进园区商品在全国更大范围流通受托服务；</w:t>
      </w:r>
    </w:p>
    <w:p w14:paraId="7C332BC3">
      <w:pPr>
        <w:numPr>
          <w:ilvl w:val="0"/>
          <w:numId w:val="4"/>
        </w:numPr>
        <w:rPr>
          <w:rFonts w:ascii="宋体" w:cs="宋体"/>
          <w:sz w:val="24"/>
          <w:shd w:val="clear" w:color="auto" w:fill="FFFFFF"/>
        </w:rPr>
      </w:pPr>
      <w:r>
        <w:rPr>
          <w:rFonts w:hint="eastAsia" w:ascii="宋体" w:hAnsi="宋体" w:cs="宋体"/>
          <w:sz w:val="24"/>
          <w:shd w:val="clear" w:color="auto" w:fill="FFFFFF"/>
        </w:rPr>
        <w:t>引才第三方服务公司，银行、保险、托盘、会计、税务代工等，为产品流通提供保障，吸引大型商贸企业、钢铁加工企业进驻，活跃人、财、物流通交易；</w:t>
      </w:r>
    </w:p>
    <w:p w14:paraId="5A502DC7">
      <w:pPr>
        <w:numPr>
          <w:ilvl w:val="0"/>
          <w:numId w:val="4"/>
        </w:numPr>
        <w:rPr>
          <w:rFonts w:ascii="宋体" w:cs="宋体"/>
          <w:sz w:val="24"/>
          <w:shd w:val="clear" w:color="auto" w:fill="FFFFFF"/>
        </w:rPr>
      </w:pPr>
      <w:r>
        <w:rPr>
          <w:rFonts w:hint="eastAsia" w:ascii="宋体" w:hAnsi="宋体" w:cs="宋体"/>
          <w:sz w:val="24"/>
          <w:shd w:val="clear" w:color="auto" w:fill="FFFFFF"/>
        </w:rPr>
        <w:t>利用屋顶太阳能发电及建设储能设施，进行充电服务；</w:t>
      </w:r>
    </w:p>
    <w:p w14:paraId="25F85EBD">
      <w:pPr>
        <w:numPr>
          <w:ilvl w:val="0"/>
          <w:numId w:val="4"/>
        </w:numPr>
        <w:rPr>
          <w:rFonts w:ascii="宋体" w:cs="宋体"/>
          <w:sz w:val="24"/>
          <w:shd w:val="clear" w:color="auto" w:fill="FFFFFF"/>
        </w:rPr>
      </w:pPr>
      <w:r>
        <w:rPr>
          <w:rFonts w:hint="eastAsia" w:ascii="宋体" w:hAnsi="宋体" w:cs="宋体"/>
          <w:sz w:val="24"/>
          <w:shd w:val="clear" w:color="auto" w:fill="FFFFFF"/>
        </w:rPr>
        <w:t>在满足交易金额和电子商务的数据流量的条件下，可选择在香港进行借壳上市。</w:t>
      </w:r>
    </w:p>
    <w:p w14:paraId="0241F94D">
      <w:pPr>
        <w:numPr>
          <w:ilvl w:val="0"/>
          <w:numId w:val="5"/>
        </w:numPr>
        <w:rPr>
          <w:rFonts w:ascii="宋体" w:cs="宋体"/>
          <w:sz w:val="24"/>
          <w:shd w:val="clear" w:color="auto" w:fill="FFFFFF"/>
        </w:rPr>
      </w:pPr>
      <w:r>
        <w:rPr>
          <w:rFonts w:hint="eastAsia" w:ascii="宋体" w:hAnsi="宋体" w:cs="宋体"/>
          <w:sz w:val="24"/>
          <w:shd w:val="clear" w:color="auto" w:fill="FFFFFF"/>
        </w:rPr>
        <w:t>完善期</w:t>
      </w:r>
    </w:p>
    <w:p w14:paraId="2C18F543">
      <w:pPr>
        <w:numPr>
          <w:ilvl w:val="0"/>
          <w:numId w:val="6"/>
        </w:numPr>
        <w:rPr>
          <w:rFonts w:ascii="宋体" w:cs="宋体"/>
          <w:sz w:val="24"/>
          <w:shd w:val="clear" w:color="auto" w:fill="FFFFFF"/>
        </w:rPr>
      </w:pPr>
      <w:r>
        <w:rPr>
          <w:rFonts w:hint="eastAsia" w:ascii="宋体" w:hAnsi="宋体" w:cs="宋体"/>
          <w:sz w:val="24"/>
          <w:shd w:val="clear" w:color="auto" w:fill="FFFFFF"/>
        </w:rPr>
        <w:t>以物联网、大数据、人工智能等信息技术为支撑，为仓储、运输、装卸包装、加工配送、信息服务实现系统感知、全面分析、自动处理、自我调节功能；</w:t>
      </w:r>
    </w:p>
    <w:p w14:paraId="5D21183F">
      <w:pPr>
        <w:numPr>
          <w:ilvl w:val="0"/>
          <w:numId w:val="6"/>
        </w:numPr>
        <w:rPr>
          <w:rFonts w:ascii="宋体" w:cs="宋体"/>
          <w:sz w:val="24"/>
          <w:shd w:val="clear" w:color="auto" w:fill="FFFFFF"/>
        </w:rPr>
      </w:pPr>
      <w:r>
        <w:rPr>
          <w:rFonts w:hint="eastAsia" w:ascii="宋体" w:hAnsi="宋体" w:cs="宋体"/>
          <w:sz w:val="24"/>
          <w:shd w:val="clear" w:color="auto" w:fill="FFFFFF"/>
        </w:rPr>
        <w:t>申请及搭建区块链平台，对钢铁及钢铁加工产品进行实物与虚拟交易，现货与期货交易；</w:t>
      </w:r>
    </w:p>
    <w:p w14:paraId="78C1F0D4">
      <w:pPr>
        <w:numPr>
          <w:ilvl w:val="0"/>
          <w:numId w:val="6"/>
        </w:numPr>
        <w:rPr>
          <w:rFonts w:ascii="宋体" w:cs="宋体"/>
          <w:sz w:val="24"/>
          <w:shd w:val="clear" w:color="auto" w:fill="FFFFFF"/>
        </w:rPr>
      </w:pPr>
      <w:r>
        <w:rPr>
          <w:rFonts w:hint="eastAsia" w:ascii="宋体" w:hAnsi="宋体" w:cs="宋体"/>
          <w:sz w:val="24"/>
          <w:shd w:val="clear" w:color="auto" w:fill="FFFFFF"/>
        </w:rPr>
        <w:t>为园区钢铁加工产品对接海外市场，跨境电子商务保税、信息交互。</w:t>
      </w:r>
    </w:p>
    <w:p w14:paraId="3FBD7249">
      <w:pPr>
        <w:numPr>
          <w:ilvl w:val="0"/>
          <w:numId w:val="5"/>
        </w:numPr>
        <w:rPr>
          <w:rFonts w:ascii="宋体" w:cs="宋体"/>
          <w:sz w:val="24"/>
          <w:shd w:val="clear" w:color="auto" w:fill="FFFFFF"/>
        </w:rPr>
      </w:pPr>
      <w:r>
        <w:rPr>
          <w:rFonts w:hint="eastAsia" w:ascii="宋体" w:hAnsi="宋体" w:cs="宋体"/>
          <w:sz w:val="24"/>
          <w:shd w:val="clear" w:color="auto" w:fill="FFFFFF"/>
        </w:rPr>
        <w:t>发展期</w:t>
      </w:r>
    </w:p>
    <w:p w14:paraId="2065E9AB">
      <w:pPr>
        <w:numPr>
          <w:ilvl w:val="0"/>
          <w:numId w:val="7"/>
        </w:numPr>
        <w:rPr>
          <w:rFonts w:ascii="宋体" w:cs="宋体"/>
          <w:sz w:val="24"/>
          <w:shd w:val="clear" w:color="auto" w:fill="FFFFFF"/>
        </w:rPr>
      </w:pPr>
      <w:r>
        <w:rPr>
          <w:rFonts w:hint="eastAsia" w:ascii="宋体" w:hAnsi="宋体" w:cs="宋体"/>
          <w:sz w:val="24"/>
          <w:shd w:val="clear" w:color="auto" w:fill="FFFFFF"/>
        </w:rPr>
        <w:t>增加清洁能源运载能力，实现出厂到园区，园区到车站、码头无污染运输。</w:t>
      </w:r>
    </w:p>
    <w:p w14:paraId="5FAB229C">
      <w:pPr>
        <w:numPr>
          <w:ilvl w:val="0"/>
          <w:numId w:val="7"/>
        </w:numPr>
        <w:rPr>
          <w:rFonts w:ascii="宋体" w:cs="宋体"/>
          <w:sz w:val="24"/>
          <w:shd w:val="clear" w:color="auto" w:fill="FFFFFF"/>
        </w:rPr>
      </w:pPr>
      <w:r>
        <w:rPr>
          <w:rFonts w:hint="eastAsia" w:ascii="宋体" w:hAnsi="宋体" w:cs="宋体"/>
          <w:sz w:val="24"/>
          <w:shd w:val="clear" w:color="auto" w:fill="FFFFFF"/>
        </w:rPr>
        <w:t>屋面太阳能发电、自供给加工、电网售电并进行碳交易。</w:t>
      </w:r>
    </w:p>
    <w:p w14:paraId="25F014F0">
      <w:pPr>
        <w:numPr>
          <w:ilvl w:val="0"/>
          <w:numId w:val="7"/>
        </w:numPr>
        <w:rPr>
          <w:rFonts w:ascii="宋体" w:cs="宋体"/>
          <w:sz w:val="24"/>
          <w:shd w:val="clear" w:color="auto" w:fill="FFFFFF"/>
        </w:rPr>
      </w:pPr>
      <w:r>
        <w:rPr>
          <w:rFonts w:hint="eastAsia" w:ascii="宋体" w:hAnsi="宋体" w:cs="宋体"/>
          <w:sz w:val="24"/>
          <w:shd w:val="clear" w:color="auto" w:fill="FFFFFF"/>
        </w:rPr>
        <w:t>向下引流延伸，借助跨境和电子交易平台实现原材料交易和科研创新设计钢铁深加工产品。</w:t>
      </w:r>
    </w:p>
    <w:p w14:paraId="4C1F6653">
      <w:pPr>
        <w:numPr>
          <w:ilvl w:val="0"/>
          <w:numId w:val="1"/>
        </w:numPr>
        <w:jc w:val="center"/>
        <w:rPr>
          <w:rFonts w:ascii="宋体" w:cs="宋体"/>
          <w:b/>
          <w:bCs/>
          <w:sz w:val="32"/>
          <w:szCs w:val="32"/>
          <w:shd w:val="clear" w:color="auto" w:fill="FFFFFF"/>
        </w:rPr>
      </w:pPr>
      <w:r>
        <w:rPr>
          <w:rFonts w:hint="eastAsia" w:ascii="宋体" w:hAnsi="宋体" w:cs="宋体"/>
          <w:b/>
          <w:bCs/>
          <w:sz w:val="32"/>
          <w:szCs w:val="32"/>
          <w:shd w:val="clear" w:color="auto" w:fill="FFFFFF"/>
        </w:rPr>
        <w:t>总结</w:t>
      </w:r>
    </w:p>
    <w:p w14:paraId="42DCA05D">
      <w:pPr>
        <w:ind w:firstLine="480" w:firstLineChars="200"/>
        <w:rPr>
          <w:rFonts w:ascii="宋体" w:cs="宋体"/>
          <w:sz w:val="24"/>
          <w:shd w:val="clear" w:color="auto" w:fill="FFFFFF"/>
        </w:rPr>
      </w:pPr>
      <w:r>
        <w:rPr>
          <w:rFonts w:hint="eastAsia" w:ascii="宋体" w:hAnsi="宋体" w:cs="宋体"/>
          <w:sz w:val="24"/>
          <w:shd w:val="clear" w:color="auto" w:fill="FFFFFF"/>
        </w:rPr>
        <w:t>本项目预计总投资</w:t>
      </w:r>
      <w:r>
        <w:rPr>
          <w:rFonts w:ascii="宋体" w:hAnsi="宋体" w:cs="宋体"/>
          <w:sz w:val="24"/>
          <w:shd w:val="clear" w:color="auto" w:fill="FFFFFF"/>
        </w:rPr>
        <w:t>3</w:t>
      </w:r>
      <w:r>
        <w:rPr>
          <w:rFonts w:hint="eastAsia" w:ascii="宋体" w:hAnsi="宋体" w:cs="宋体"/>
          <w:sz w:val="24"/>
          <w:shd w:val="clear" w:color="auto" w:fill="FFFFFF"/>
        </w:rPr>
        <w:t>亿元，其中土地与前期费用约</w:t>
      </w:r>
      <w:r>
        <w:rPr>
          <w:rFonts w:ascii="宋体" w:hAnsi="宋体" w:cs="宋体"/>
          <w:sz w:val="24"/>
          <w:shd w:val="clear" w:color="auto" w:fill="FFFFFF"/>
        </w:rPr>
        <w:t>1.5</w:t>
      </w:r>
      <w:r>
        <w:rPr>
          <w:rFonts w:hint="eastAsia" w:ascii="宋体" w:hAnsi="宋体" w:cs="宋体"/>
          <w:sz w:val="24"/>
          <w:shd w:val="clear" w:color="auto" w:fill="FFFFFF"/>
        </w:rPr>
        <w:t>亿元</w:t>
      </w:r>
      <w:r>
        <w:rPr>
          <w:rFonts w:hint="eastAsia" w:ascii="宋体" w:hAnsi="宋体" w:cs="宋体"/>
          <w:sz w:val="24"/>
          <w:shd w:val="clear" w:color="auto" w:fill="FFFFFF"/>
          <w:lang w:eastAsia="zh-CN"/>
        </w:rPr>
        <w:t>，</w:t>
      </w:r>
      <w:r>
        <w:rPr>
          <w:rFonts w:hint="eastAsia" w:ascii="宋体" w:hAnsi="宋体" w:cs="宋体"/>
          <w:sz w:val="24"/>
          <w:shd w:val="clear" w:color="auto" w:fill="FFFFFF"/>
        </w:rPr>
        <w:t>建设资金</w:t>
      </w:r>
      <w:r>
        <w:rPr>
          <w:rFonts w:ascii="宋体" w:hAnsi="宋体" w:cs="宋体"/>
          <w:sz w:val="24"/>
          <w:shd w:val="clear" w:color="auto" w:fill="FFFFFF"/>
        </w:rPr>
        <w:t>1</w:t>
      </w:r>
      <w:r>
        <w:rPr>
          <w:rFonts w:hint="eastAsia" w:ascii="宋体" w:hAnsi="宋体" w:cs="宋体"/>
          <w:sz w:val="24"/>
          <w:shd w:val="clear" w:color="auto" w:fill="FFFFFF"/>
        </w:rPr>
        <w:t>亿元。项目分两期建设，第一期仓储用房、道路设施等建设费用约</w:t>
      </w:r>
      <w:r>
        <w:rPr>
          <w:rFonts w:ascii="宋体" w:hAnsi="宋体" w:cs="宋体"/>
          <w:sz w:val="24"/>
          <w:shd w:val="clear" w:color="auto" w:fill="FFFFFF"/>
        </w:rPr>
        <w:t>5000</w:t>
      </w:r>
      <w:r>
        <w:rPr>
          <w:rFonts w:hint="eastAsia" w:ascii="宋体" w:hAnsi="宋体" w:cs="宋体"/>
          <w:sz w:val="24"/>
          <w:shd w:val="clear" w:color="auto" w:fill="FFFFFF"/>
        </w:rPr>
        <w:t>万元，建设周期约</w:t>
      </w:r>
      <w:r>
        <w:rPr>
          <w:rFonts w:ascii="宋体" w:hAnsi="宋体" w:cs="宋体"/>
          <w:sz w:val="24"/>
          <w:shd w:val="clear" w:color="auto" w:fill="FFFFFF"/>
        </w:rPr>
        <w:t>12</w:t>
      </w:r>
      <w:r>
        <w:rPr>
          <w:rFonts w:hint="eastAsia" w:ascii="宋体" w:hAnsi="宋体" w:cs="宋体"/>
          <w:sz w:val="24"/>
          <w:shd w:val="clear" w:color="auto" w:fill="FFFFFF"/>
        </w:rPr>
        <w:t>个月，建设完成后投产并开始二期对整个园区的建设，周期在</w:t>
      </w:r>
      <w:r>
        <w:rPr>
          <w:rFonts w:ascii="宋体" w:hAnsi="宋体" w:cs="宋体"/>
          <w:sz w:val="24"/>
          <w:shd w:val="clear" w:color="auto" w:fill="FFFFFF"/>
        </w:rPr>
        <w:t>12</w:t>
      </w:r>
      <w:r>
        <w:rPr>
          <w:rFonts w:hint="eastAsia" w:ascii="宋体" w:hAnsi="宋体" w:cs="宋体"/>
          <w:sz w:val="24"/>
          <w:shd w:val="clear" w:color="auto" w:fill="FFFFFF"/>
        </w:rPr>
        <w:t>个月至</w:t>
      </w:r>
      <w:r>
        <w:rPr>
          <w:rFonts w:ascii="宋体" w:hAnsi="宋体" w:cs="宋体"/>
          <w:sz w:val="24"/>
          <w:shd w:val="clear" w:color="auto" w:fill="FFFFFF"/>
        </w:rPr>
        <w:t>24</w:t>
      </w:r>
      <w:r>
        <w:rPr>
          <w:rFonts w:hint="eastAsia" w:ascii="宋体" w:hAnsi="宋体" w:cs="宋体"/>
          <w:sz w:val="24"/>
          <w:shd w:val="clear" w:color="auto" w:fill="FFFFFF"/>
        </w:rPr>
        <w:t>个月，投资额</w:t>
      </w:r>
      <w:r>
        <w:rPr>
          <w:rFonts w:ascii="宋体" w:hAnsi="宋体" w:cs="宋体"/>
          <w:sz w:val="24"/>
          <w:shd w:val="clear" w:color="auto" w:fill="FFFFFF"/>
        </w:rPr>
        <w:t>2.5</w:t>
      </w:r>
      <w:r>
        <w:rPr>
          <w:rFonts w:hint="eastAsia" w:ascii="宋体" w:hAnsi="宋体" w:cs="宋体"/>
          <w:sz w:val="24"/>
          <w:shd w:val="clear" w:color="auto" w:fill="FFFFFF"/>
        </w:rPr>
        <w:t>亿元。</w:t>
      </w:r>
    </w:p>
    <w:p w14:paraId="561D3CFD">
      <w:pPr>
        <w:ind w:firstLine="482" w:firstLineChars="200"/>
        <w:rPr>
          <w:rFonts w:ascii="宋体" w:cs="宋体"/>
          <w:b/>
          <w:bCs/>
          <w:sz w:val="24"/>
          <w:shd w:val="clear" w:color="auto" w:fill="FFFFFF"/>
        </w:rPr>
      </w:pPr>
      <w:r>
        <w:rPr>
          <w:rFonts w:hint="eastAsia" w:ascii="宋体" w:hAnsi="宋体" w:cs="宋体"/>
          <w:b/>
          <w:bCs/>
          <w:sz w:val="24"/>
          <w:shd w:val="clear" w:color="auto" w:fill="FFFFFF"/>
        </w:rPr>
        <w:t>收益</w:t>
      </w:r>
    </w:p>
    <w:p w14:paraId="74CDE06D">
      <w:pPr>
        <w:ind w:firstLine="480" w:firstLineChars="200"/>
        <w:rPr>
          <w:rFonts w:ascii="宋体" w:cs="宋体"/>
          <w:sz w:val="24"/>
          <w:shd w:val="clear" w:color="auto" w:fill="FFFFFF"/>
        </w:rPr>
      </w:pPr>
      <w:r>
        <w:rPr>
          <w:rFonts w:hint="eastAsia" w:ascii="宋体" w:hAnsi="宋体" w:cs="宋体"/>
          <w:sz w:val="24"/>
          <w:shd w:val="clear" w:color="auto" w:fill="FFFFFF"/>
        </w:rPr>
        <w:t>园区完成建设后，第一阶段（</w:t>
      </w:r>
      <w:r>
        <w:rPr>
          <w:rFonts w:ascii="宋体" w:hAnsi="宋体" w:cs="宋体"/>
          <w:sz w:val="24"/>
          <w:shd w:val="clear" w:color="auto" w:fill="FFFFFF"/>
        </w:rPr>
        <w:t>0-24</w:t>
      </w:r>
      <w:r>
        <w:rPr>
          <w:rFonts w:hint="eastAsia" w:ascii="宋体" w:hAnsi="宋体" w:cs="宋体"/>
          <w:sz w:val="24"/>
          <w:shd w:val="clear" w:color="auto" w:fill="FFFFFF"/>
        </w:rPr>
        <w:t>个月）</w:t>
      </w:r>
      <w:bookmarkStart w:id="0" w:name="_GoBack"/>
      <w:bookmarkEnd w:id="0"/>
      <w:r>
        <w:rPr>
          <w:rFonts w:hint="eastAsia" w:ascii="宋体" w:hAnsi="宋体" w:cs="宋体"/>
          <w:sz w:val="24"/>
          <w:shd w:val="clear" w:color="auto" w:fill="FFFFFF"/>
        </w:rPr>
        <w:t>预计年回报</w:t>
      </w:r>
      <w:r>
        <w:rPr>
          <w:rFonts w:ascii="宋体" w:hAnsi="宋体" w:cs="宋体"/>
          <w:sz w:val="24"/>
          <w:shd w:val="clear" w:color="auto" w:fill="FFFFFF"/>
        </w:rPr>
        <w:t>6000-8000</w:t>
      </w:r>
      <w:r>
        <w:rPr>
          <w:rFonts w:hint="eastAsia" w:ascii="宋体" w:hAnsi="宋体" w:cs="宋体"/>
          <w:sz w:val="24"/>
          <w:shd w:val="clear" w:color="auto" w:fill="FFFFFF"/>
        </w:rPr>
        <w:t>万元。第二阶段（</w:t>
      </w:r>
      <w:r>
        <w:rPr>
          <w:rFonts w:ascii="宋体" w:hAnsi="宋体" w:cs="宋体"/>
          <w:sz w:val="24"/>
          <w:shd w:val="clear" w:color="auto" w:fill="FFFFFF"/>
        </w:rPr>
        <w:t>24-48</w:t>
      </w:r>
      <w:r>
        <w:rPr>
          <w:rFonts w:hint="eastAsia" w:ascii="宋体" w:hAnsi="宋体" w:cs="宋体"/>
          <w:sz w:val="24"/>
          <w:shd w:val="clear" w:color="auto" w:fill="FFFFFF"/>
        </w:rPr>
        <w:t>个月）预计年回报</w:t>
      </w:r>
      <w:r>
        <w:rPr>
          <w:rFonts w:ascii="宋体" w:hAnsi="宋体" w:cs="宋体"/>
          <w:sz w:val="24"/>
          <w:shd w:val="clear" w:color="auto" w:fill="FFFFFF"/>
        </w:rPr>
        <w:t>1.2-1.6</w:t>
      </w:r>
      <w:r>
        <w:rPr>
          <w:rFonts w:hint="eastAsia" w:ascii="宋体" w:hAnsi="宋体" w:cs="宋体"/>
          <w:sz w:val="24"/>
          <w:shd w:val="clear" w:color="auto" w:fill="FFFFFF"/>
        </w:rPr>
        <w:t>亿元。第三阶段（</w:t>
      </w:r>
      <w:r>
        <w:rPr>
          <w:rFonts w:ascii="宋体" w:hAnsi="宋体" w:cs="宋体"/>
          <w:sz w:val="24"/>
          <w:shd w:val="clear" w:color="auto" w:fill="FFFFFF"/>
        </w:rPr>
        <w:t>48</w:t>
      </w:r>
      <w:r>
        <w:rPr>
          <w:rFonts w:hint="eastAsia" w:ascii="宋体" w:hAnsi="宋体" w:cs="宋体"/>
          <w:sz w:val="24"/>
          <w:shd w:val="clear" w:color="auto" w:fill="FFFFFF"/>
        </w:rPr>
        <w:t>个月</w:t>
      </w:r>
      <w:r>
        <w:rPr>
          <w:rFonts w:ascii="宋体" w:cs="宋体"/>
          <w:sz w:val="24"/>
          <w:shd w:val="clear" w:color="auto" w:fill="FFFFFF"/>
        </w:rPr>
        <w:t>-</w:t>
      </w:r>
      <w:r>
        <w:rPr>
          <w:rFonts w:hint="eastAsia" w:ascii="宋体" w:hAnsi="宋体" w:cs="宋体"/>
          <w:sz w:val="24"/>
          <w:shd w:val="clear" w:color="auto" w:fill="FFFFFF"/>
        </w:rPr>
        <w:t>）主要是扩大园区规模和向外扩展复制。</w:t>
      </w:r>
    </w:p>
    <w:p w14:paraId="45016A7F">
      <w:pPr>
        <w:ind w:firstLine="480" w:firstLineChars="200"/>
        <w:rPr>
          <w:rFonts w:ascii="宋体" w:cs="宋体"/>
          <w:sz w:val="24"/>
          <w:shd w:val="clear" w:color="auto" w:fill="FFFFFF"/>
        </w:rPr>
      </w:pPr>
      <w:r>
        <w:rPr>
          <w:rFonts w:hint="eastAsia" w:ascii="宋体" w:hAnsi="宋体" w:cs="宋体"/>
          <w:sz w:val="24"/>
          <w:shd w:val="clear" w:color="auto" w:fill="FFFFFF"/>
        </w:rPr>
        <w:t>如在第二阶段实现境内或境外上市，按照</w:t>
      </w:r>
      <w:r>
        <w:rPr>
          <w:rFonts w:ascii="宋体" w:hAnsi="宋体" w:cs="宋体"/>
          <w:sz w:val="24"/>
          <w:shd w:val="clear" w:color="auto" w:fill="FFFFFF"/>
        </w:rPr>
        <w:t>2021</w:t>
      </w:r>
      <w:r>
        <w:rPr>
          <w:rFonts w:hint="eastAsia" w:ascii="宋体" w:hAnsi="宋体" w:cs="宋体"/>
          <w:sz w:val="24"/>
          <w:shd w:val="clear" w:color="auto" w:fill="FFFFFF"/>
        </w:rPr>
        <w:t>年沪深股市仓储行业平均</w:t>
      </w:r>
      <w:r>
        <w:rPr>
          <w:rFonts w:ascii="宋体" w:hAnsi="宋体" w:cs="宋体"/>
          <w:sz w:val="24"/>
          <w:shd w:val="clear" w:color="auto" w:fill="FFFFFF"/>
        </w:rPr>
        <w:t>25</w:t>
      </w:r>
      <w:r>
        <w:rPr>
          <w:rFonts w:hint="eastAsia" w:ascii="宋体" w:hAnsi="宋体" w:cs="宋体"/>
          <w:sz w:val="24"/>
          <w:shd w:val="clear" w:color="auto" w:fill="FFFFFF"/>
        </w:rPr>
        <w:t>倍市赢率计算，总资本规模将达到</w:t>
      </w:r>
      <w:r>
        <w:rPr>
          <w:rFonts w:ascii="宋体" w:hAnsi="宋体" w:cs="宋体"/>
          <w:sz w:val="24"/>
          <w:shd w:val="clear" w:color="auto" w:fill="FFFFFF"/>
        </w:rPr>
        <w:t>30</w:t>
      </w:r>
      <w:r>
        <w:rPr>
          <w:rFonts w:hint="eastAsia" w:ascii="宋体" w:hAnsi="宋体" w:cs="宋体"/>
          <w:sz w:val="24"/>
          <w:shd w:val="clear" w:color="auto" w:fill="FFFFFF"/>
        </w:rPr>
        <w:t>个亿以上，对应前期</w:t>
      </w:r>
      <w:r>
        <w:rPr>
          <w:rFonts w:ascii="宋体" w:hAnsi="宋体" w:cs="宋体"/>
          <w:sz w:val="24"/>
          <w:shd w:val="clear" w:color="auto" w:fill="FFFFFF"/>
        </w:rPr>
        <w:t>3</w:t>
      </w:r>
      <w:r>
        <w:rPr>
          <w:rFonts w:hint="eastAsia" w:ascii="宋体" w:hAnsi="宋体" w:cs="宋体"/>
          <w:sz w:val="24"/>
          <w:shd w:val="clear" w:color="auto" w:fill="FFFFFF"/>
        </w:rPr>
        <w:t>亿元起步资本金投入将扩大</w:t>
      </w:r>
      <w:r>
        <w:rPr>
          <w:rFonts w:ascii="宋体" w:hAnsi="宋体" w:cs="宋体"/>
          <w:sz w:val="24"/>
          <w:shd w:val="clear" w:color="auto" w:fill="FFFFFF"/>
        </w:rPr>
        <w:t>10</w:t>
      </w:r>
      <w:r>
        <w:rPr>
          <w:rFonts w:hint="eastAsia" w:ascii="宋体" w:hAnsi="宋体" w:cs="宋体"/>
          <w:sz w:val="24"/>
          <w:shd w:val="clear" w:color="auto" w:fill="FFFFFF"/>
        </w:rPr>
        <w:t>倍以上。</w:t>
      </w:r>
    </w:p>
    <w:p w14:paraId="1CC034B4">
      <w:pPr>
        <w:ind w:firstLine="480" w:firstLineChars="200"/>
        <w:rPr>
          <w:rFonts w:ascii="宋体" w:cs="宋体"/>
          <w:sz w:val="24"/>
          <w:shd w:val="clear" w:color="auto" w:fill="FFFFFF"/>
        </w:rPr>
      </w:pPr>
      <w:r>
        <w:rPr>
          <w:rFonts w:hint="eastAsia" w:ascii="宋体" w:hAnsi="宋体" w:cs="宋体"/>
          <w:sz w:val="24"/>
          <w:shd w:val="clear" w:color="auto" w:fill="FFFFFF"/>
        </w:rPr>
        <w:t>运营期间未计入各项国家扶持补贴资金，如《交通运输部货运枢纽（物流园区）投资补助项目管理办法》对物流园区补贴资金</w:t>
      </w:r>
      <w:r>
        <w:rPr>
          <w:rFonts w:ascii="宋体" w:hAnsi="宋体" w:cs="宋体"/>
          <w:sz w:val="24"/>
          <w:shd w:val="clear" w:color="auto" w:fill="FFFFFF"/>
        </w:rPr>
        <w:t>1000</w:t>
      </w:r>
      <w:r>
        <w:rPr>
          <w:rFonts w:hint="eastAsia" w:ascii="宋体" w:hAnsi="宋体" w:cs="宋体"/>
          <w:sz w:val="24"/>
          <w:shd w:val="clear" w:color="auto" w:fill="FFFFFF"/>
        </w:rPr>
        <w:t>万元</w:t>
      </w:r>
      <w:r>
        <w:rPr>
          <w:rFonts w:ascii="宋体" w:hAnsi="宋体" w:cs="宋体"/>
          <w:sz w:val="24"/>
          <w:shd w:val="clear" w:color="auto" w:fill="FFFFFF"/>
        </w:rPr>
        <w:t>-5000</w:t>
      </w:r>
      <w:r>
        <w:rPr>
          <w:rFonts w:hint="eastAsia" w:ascii="宋体" w:hAnsi="宋体" w:cs="宋体"/>
          <w:sz w:val="24"/>
          <w:shd w:val="clear" w:color="auto" w:fill="FFFFFF"/>
        </w:rPr>
        <w:t>万元等。</w:t>
      </w:r>
    </w:p>
    <w:p w14:paraId="04F25EF0">
      <w:pPr>
        <w:ind w:firstLine="480" w:firstLineChars="200"/>
        <w:rPr>
          <w:rFonts w:ascii="宋体" w:cs="宋体"/>
          <w:sz w:val="24"/>
          <w:shd w:val="clear" w:color="auto" w:fill="FFFFFF"/>
        </w:rPr>
      </w:pPr>
      <w:r>
        <w:rPr>
          <w:rFonts w:hint="eastAsia" w:ascii="宋体" w:hAnsi="宋体" w:cs="宋体"/>
          <w:sz w:val="24"/>
          <w:shd w:val="clear" w:color="auto" w:fill="FFFFFF"/>
        </w:rPr>
        <w:t>将本项目打造成绿色、智能的物流产业标杆项目。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CB193"/>
    <w:multiLevelType w:val="singleLevel"/>
    <w:tmpl w:val="979CB193"/>
    <w:lvl w:ilvl="0" w:tentative="0">
      <w:start w:val="1"/>
      <w:numFmt w:val="decimal"/>
      <w:lvlText w:val="%1."/>
      <w:lvlJc w:val="left"/>
      <w:pPr>
        <w:ind w:left="425" w:hanging="425"/>
      </w:pPr>
      <w:rPr>
        <w:rFonts w:hint="default" w:cs="Times New Roman"/>
      </w:rPr>
    </w:lvl>
  </w:abstractNum>
  <w:abstractNum w:abstractNumId="1">
    <w:nsid w:val="9CD48752"/>
    <w:multiLevelType w:val="singleLevel"/>
    <w:tmpl w:val="9CD48752"/>
    <w:lvl w:ilvl="0" w:tentative="0">
      <w:start w:val="1"/>
      <w:numFmt w:val="chineseCounting"/>
      <w:suff w:val="nothing"/>
      <w:lvlText w:val="%1、"/>
      <w:lvlJc w:val="left"/>
      <w:rPr>
        <w:rFonts w:hint="eastAsia" w:cs="Times New Roman"/>
      </w:rPr>
    </w:lvl>
  </w:abstractNum>
  <w:abstractNum w:abstractNumId="2">
    <w:nsid w:val="059713A8"/>
    <w:multiLevelType w:val="singleLevel"/>
    <w:tmpl w:val="059713A8"/>
    <w:lvl w:ilvl="0" w:tentative="0">
      <w:start w:val="1"/>
      <w:numFmt w:val="decimal"/>
      <w:lvlText w:val="%1."/>
      <w:lvlJc w:val="left"/>
      <w:pPr>
        <w:tabs>
          <w:tab w:val="left" w:pos="312"/>
        </w:tabs>
      </w:pPr>
      <w:rPr>
        <w:rFonts w:cs="Times New Roman"/>
      </w:rPr>
    </w:lvl>
  </w:abstractNum>
  <w:abstractNum w:abstractNumId="3">
    <w:nsid w:val="08133386"/>
    <w:multiLevelType w:val="singleLevel"/>
    <w:tmpl w:val="08133386"/>
    <w:lvl w:ilvl="0" w:tentative="0">
      <w:start w:val="2"/>
      <w:numFmt w:val="chineseCounting"/>
      <w:suff w:val="nothing"/>
      <w:lvlText w:val="（%1）"/>
      <w:lvlJc w:val="left"/>
      <w:rPr>
        <w:rFonts w:hint="eastAsia" w:cs="Times New Roman"/>
      </w:rPr>
    </w:lvl>
  </w:abstractNum>
  <w:abstractNum w:abstractNumId="4">
    <w:nsid w:val="2B0FF9A6"/>
    <w:multiLevelType w:val="singleLevel"/>
    <w:tmpl w:val="2B0FF9A6"/>
    <w:lvl w:ilvl="0" w:tentative="0">
      <w:start w:val="1"/>
      <w:numFmt w:val="decimal"/>
      <w:lvlText w:val="%1."/>
      <w:lvlJc w:val="left"/>
      <w:pPr>
        <w:tabs>
          <w:tab w:val="left" w:pos="312"/>
        </w:tabs>
      </w:pPr>
      <w:rPr>
        <w:rFonts w:cs="Times New Roman"/>
      </w:rPr>
    </w:lvl>
  </w:abstractNum>
  <w:abstractNum w:abstractNumId="5">
    <w:nsid w:val="44A669F7"/>
    <w:multiLevelType w:val="singleLevel"/>
    <w:tmpl w:val="44A669F7"/>
    <w:lvl w:ilvl="0" w:tentative="0">
      <w:start w:val="1"/>
      <w:numFmt w:val="decimal"/>
      <w:suff w:val="nothing"/>
      <w:lvlText w:val="%1、"/>
      <w:lvlJc w:val="left"/>
      <w:rPr>
        <w:rFonts w:cs="Times New Roman"/>
      </w:rPr>
    </w:lvl>
  </w:abstractNum>
  <w:abstractNum w:abstractNumId="6">
    <w:nsid w:val="4A574637"/>
    <w:multiLevelType w:val="singleLevel"/>
    <w:tmpl w:val="4A574637"/>
    <w:lvl w:ilvl="0" w:tentative="0">
      <w:start w:val="1"/>
      <w:numFmt w:val="decimal"/>
      <w:lvlText w:val="%1)"/>
      <w:lvlJc w:val="left"/>
      <w:pPr>
        <w:ind w:left="425" w:hanging="425"/>
      </w:pPr>
      <w:rPr>
        <w:rFonts w:hint="default" w:cs="Times New Roman"/>
      </w:rPr>
    </w:lvl>
  </w:abstractNum>
  <w:num w:numId="1">
    <w:abstractNumId w:val="1"/>
  </w:num>
  <w:num w:numId="2">
    <w:abstractNumId w:val="5"/>
  </w:num>
  <w:num w:numId="3">
    <w:abstractNumId w:val="6"/>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80"/>
  <w:embedSystem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66AAD"/>
    <w:rsid w:val="00151286"/>
    <w:rsid w:val="001761B8"/>
    <w:rsid w:val="001D1157"/>
    <w:rsid w:val="00207E89"/>
    <w:rsid w:val="00227BA4"/>
    <w:rsid w:val="002A39E8"/>
    <w:rsid w:val="004B45F6"/>
    <w:rsid w:val="004C25A3"/>
    <w:rsid w:val="0065253E"/>
    <w:rsid w:val="006821DB"/>
    <w:rsid w:val="006A13DD"/>
    <w:rsid w:val="007932ED"/>
    <w:rsid w:val="007E35D0"/>
    <w:rsid w:val="00803E40"/>
    <w:rsid w:val="0083488F"/>
    <w:rsid w:val="00966AAD"/>
    <w:rsid w:val="009A3D71"/>
    <w:rsid w:val="00CF2183"/>
    <w:rsid w:val="00D015AD"/>
    <w:rsid w:val="00D66E9B"/>
    <w:rsid w:val="00DB09E1"/>
    <w:rsid w:val="00F90519"/>
    <w:rsid w:val="1B714F9D"/>
    <w:rsid w:val="1FC847DA"/>
    <w:rsid w:val="465625D4"/>
    <w:rsid w:val="5CCA48C8"/>
    <w:rsid w:val="7082019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uiPriority="99" w:name="header" w:locked="1"/>
    <w:lsdException w:uiPriority="99" w:name="footer" w:locked="1"/>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5"/>
    <w:qFormat/>
    <w:uiPriority w:val="99"/>
    <w:pPr>
      <w:spacing w:beforeAutospacing="1" w:afterAutospacing="1"/>
      <w:jc w:val="left"/>
      <w:outlineLvl w:val="0"/>
    </w:pPr>
    <w:rPr>
      <w:rFonts w:ascii="宋体" w:hAnsi="宋体"/>
      <w:b/>
      <w:bCs/>
      <w:kern w:val="44"/>
      <w:sz w:val="48"/>
      <w:szCs w:val="48"/>
    </w:rPr>
  </w:style>
  <w:style w:type="character" w:default="1" w:styleId="4">
    <w:name w:val="Default Paragraph Font"/>
    <w:semiHidden/>
    <w:uiPriority w:val="99"/>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5">
    <w:name w:val="Heading 1 Char"/>
    <w:basedOn w:val="4"/>
    <w:link w:val="2"/>
    <w:locked/>
    <w:uiPriority w:val="99"/>
    <w:rPr>
      <w:rFonts w:ascii="Calibri" w:hAnsi="Calibri" w:cs="Times New Roman"/>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2</Pages>
  <Words>2259</Words>
  <Characters>2339</Characters>
  <Lines>0</Lines>
  <Paragraphs>0</Paragraphs>
  <TotalTime>7</TotalTime>
  <ScaleCrop>false</ScaleCrop>
  <LinksUpToDate>false</LinksUpToDate>
  <CharactersWithSpaces>2341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2026-07-16T06:56:00Z</dcterms:created>
  <dc:creator>Administrator</dc:creator>
  <cp:lastModifiedBy>刘宪锋</cp:lastModifiedBy>
  <dcterms:modified xsi:type="dcterms:W3CDTF">2026-10-19T07:53:15Z</dcterms:modified>
  <dc:title>  东方世纪物流发展报告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commondata">
    <vt:lpwstr>eyJoZGlkIjoiYjc4Nzg4ZjI0MTJmOWQ1YWZhNDBjYzA1ZjliZTM2ZjkifQ==</vt:lpwstr>
  </property>
  <property fmtid="{D5CDD505-2E9C-101B-9397-08002B2CF9AE}" pid="4" name="ICV">
    <vt:lpwstr>323E8E6EA2D5489EB1F2C08DBA41F71C</vt:lpwstr>
  </property>
  <property fmtid="{D5CDD505-2E9C-101B-9397-08002B2CF9AE}" pid="5" name="KSOTemplateDocerSaveRecord">
    <vt:lpwstr>eyJoZGlkIjoiYTE3NmMwYzI5M2UzZTNkY2UzNWM4MzhkODQwYzAwMDIiLCJ1c2VySWQiOiI5NjQ1MTg3MjEifQ==</vt:lpwstr>
  </property>
</Properties>
</file>